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6B" w:rsidRDefault="000F4898">
      <w:pPr>
        <w:spacing w:after="160" w:line="480" w:lineRule="auto"/>
        <w:jc w:val="center"/>
        <w:rPr>
          <w:rFonts w:ascii="Times New Roman" w:eastAsia="Times New Roman" w:hAnsi="Times New Roman" w:cs="Times New Roman"/>
          <w:b/>
          <w:sz w:val="30"/>
          <w:szCs w:val="30"/>
        </w:rPr>
      </w:pPr>
      <w:bookmarkStart w:id="0" w:name="_GoBack"/>
      <w:bookmarkEnd w:id="0"/>
      <w:r>
        <w:rPr>
          <w:rFonts w:ascii="Times New Roman" w:eastAsia="Times New Roman" w:hAnsi="Times New Roman" w:cs="Times New Roman"/>
          <w:b/>
          <w:sz w:val="30"/>
          <w:szCs w:val="30"/>
        </w:rPr>
        <w:t>End of Summer Report</w:t>
      </w:r>
    </w:p>
    <w:p w:rsidR="00C4036B" w:rsidRDefault="000F4898">
      <w:pPr>
        <w:spacing w:after="16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Albion College</w:t>
      </w:r>
    </w:p>
    <w:p w:rsidR="00C4036B" w:rsidRDefault="000F4898">
      <w:pPr>
        <w:spacing w:after="160" w:line="48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Aminaa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Injinash</w:t>
      </w:r>
      <w:proofErr w:type="spellEnd"/>
      <w:r>
        <w:rPr>
          <w:rFonts w:ascii="Times New Roman" w:eastAsia="Times New Roman" w:hAnsi="Times New Roman" w:cs="Times New Roman"/>
          <w:b/>
          <w:i/>
          <w:sz w:val="24"/>
          <w:szCs w:val="24"/>
        </w:rPr>
        <w:t xml:space="preserve"> and </w:t>
      </w:r>
      <w:proofErr w:type="spellStart"/>
      <w:r>
        <w:rPr>
          <w:rFonts w:ascii="Times New Roman" w:eastAsia="Times New Roman" w:hAnsi="Times New Roman" w:cs="Times New Roman"/>
          <w:b/>
          <w:i/>
          <w:sz w:val="24"/>
          <w:szCs w:val="24"/>
        </w:rPr>
        <w:t>Seolah</w:t>
      </w:r>
      <w:proofErr w:type="spellEnd"/>
      <w:r>
        <w:rPr>
          <w:rFonts w:ascii="Times New Roman" w:eastAsia="Times New Roman" w:hAnsi="Times New Roman" w:cs="Times New Roman"/>
          <w:b/>
          <w:i/>
          <w:sz w:val="24"/>
          <w:szCs w:val="24"/>
        </w:rPr>
        <w:t xml:space="preserve"> Kim</w:t>
      </w:r>
    </w:p>
    <w:p w:rsidR="00C4036B" w:rsidRDefault="000F4898">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research aims to explore how ATM density affects the small business owner’s income in a cashless economy. In a cashless economy, the small businesses face the challenges of transforming into digitization in their daily activities. Using the ATM density</w:t>
      </w:r>
      <w:r>
        <w:rPr>
          <w:rFonts w:ascii="Times New Roman" w:eastAsia="Times New Roman" w:hAnsi="Times New Roman" w:cs="Times New Roman"/>
          <w:sz w:val="24"/>
          <w:szCs w:val="24"/>
        </w:rPr>
        <w:t xml:space="preserve"> as a measure of accessibility to cash, we study how an increase in ATM density affects the small business owner’s income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C4036B" w:rsidRDefault="000F4898">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We collected data of ATM locations using </w:t>
      </w:r>
      <w:proofErr w:type="spellStart"/>
      <w:r>
        <w:rPr>
          <w:rFonts w:ascii="Times New Roman" w:eastAsia="Times New Roman" w:hAnsi="Times New Roman" w:cs="Times New Roman"/>
          <w:sz w:val="24"/>
          <w:szCs w:val="24"/>
          <w:highlight w:val="white"/>
        </w:rPr>
        <w:t>OpenStreetMap</w:t>
      </w:r>
      <w:proofErr w:type="spellEnd"/>
      <w:r>
        <w:rPr>
          <w:rFonts w:ascii="Times New Roman" w:eastAsia="Times New Roman" w:hAnsi="Times New Roman" w:cs="Times New Roman"/>
          <w:sz w:val="24"/>
          <w:szCs w:val="24"/>
          <w:highlight w:val="white"/>
        </w:rPr>
        <w:t xml:space="preserve"> and combined it with the CPS data from 2013 to 2020. </w:t>
      </w:r>
      <w:r>
        <w:rPr>
          <w:rFonts w:ascii="Times New Roman" w:eastAsia="Times New Roman" w:hAnsi="Times New Roman" w:cs="Times New Roman"/>
          <w:sz w:val="24"/>
          <w:szCs w:val="24"/>
        </w:rPr>
        <w:t>Our results showed tha</w:t>
      </w:r>
      <w:r>
        <w:rPr>
          <w:rFonts w:ascii="Times New Roman" w:eastAsia="Times New Roman" w:hAnsi="Times New Roman" w:cs="Times New Roman"/>
          <w:sz w:val="24"/>
          <w:szCs w:val="24"/>
        </w:rPr>
        <w:t xml:space="preserve">t </w:t>
      </w:r>
      <w:r>
        <w:rPr>
          <w:rFonts w:ascii="Times New Roman" w:eastAsia="Times New Roman" w:hAnsi="Times New Roman" w:cs="Times New Roman"/>
          <w:color w:val="0E101A"/>
          <w:sz w:val="24"/>
          <w:szCs w:val="24"/>
        </w:rPr>
        <w:t xml:space="preserve">the number of ATMs has overall increased throughout these years. This noticeable change in ATM concentration means the usage of ATM becomes more available to people. </w:t>
      </w:r>
      <w:r>
        <w:rPr>
          <w:rFonts w:ascii="Times New Roman" w:eastAsia="Times New Roman" w:hAnsi="Times New Roman" w:cs="Times New Roman"/>
          <w:sz w:val="24"/>
          <w:szCs w:val="24"/>
        </w:rPr>
        <w:t xml:space="preserve"> Consequently, increase in ATM density leads to higher income for the </w:t>
      </w:r>
      <w:proofErr w:type="spellStart"/>
      <w:r>
        <w:rPr>
          <w:rFonts w:ascii="Times New Roman" w:eastAsia="Times New Roman" w:hAnsi="Times New Roman" w:cs="Times New Roman"/>
          <w:sz w:val="24"/>
          <w:szCs w:val="24"/>
        </w:rPr>
        <w:t>owners.we</w:t>
      </w:r>
      <w:proofErr w:type="spellEnd"/>
      <w:r>
        <w:rPr>
          <w:rFonts w:ascii="Times New Roman" w:eastAsia="Times New Roman" w:hAnsi="Times New Roman" w:cs="Times New Roman"/>
          <w:sz w:val="24"/>
          <w:szCs w:val="24"/>
        </w:rPr>
        <w:t xml:space="preserve"> find tha</w:t>
      </w:r>
      <w:r>
        <w:rPr>
          <w:rFonts w:ascii="Times New Roman" w:eastAsia="Times New Roman" w:hAnsi="Times New Roman" w:cs="Times New Roman"/>
          <w:sz w:val="24"/>
          <w:szCs w:val="24"/>
        </w:rPr>
        <w:t xml:space="preserve">t its effect was stronger for the </w:t>
      </w:r>
      <w:proofErr w:type="gramStart"/>
      <w:r>
        <w:rPr>
          <w:rFonts w:ascii="Times New Roman" w:eastAsia="Times New Roman" w:hAnsi="Times New Roman" w:cs="Times New Roman"/>
          <w:sz w:val="24"/>
          <w:szCs w:val="24"/>
        </w:rPr>
        <w:t>businesses which are restaurant-related</w:t>
      </w:r>
      <w:proofErr w:type="gramEnd"/>
      <w:r>
        <w:rPr>
          <w:rFonts w:ascii="Times New Roman" w:eastAsia="Times New Roman" w:hAnsi="Times New Roman" w:cs="Times New Roman"/>
          <w:sz w:val="24"/>
          <w:szCs w:val="24"/>
        </w:rPr>
        <w:t xml:space="preserve"> and with less than 10 employees. </w:t>
      </w:r>
    </w:p>
    <w:p w:rsidR="00C4036B" w:rsidRDefault="00C4036B">
      <w:pPr>
        <w:jc w:val="both"/>
        <w:rPr>
          <w:rFonts w:ascii="Times New Roman" w:eastAsia="Times New Roman" w:hAnsi="Times New Roman" w:cs="Times New Roman"/>
          <w:sz w:val="24"/>
          <w:szCs w:val="24"/>
        </w:rPr>
      </w:pPr>
    </w:p>
    <w:p w:rsidR="00C4036B" w:rsidRDefault="000F4898">
      <w:pPr>
        <w:spacing w:after="160"/>
        <w:ind w:firstLine="720"/>
        <w:jc w:val="both"/>
        <w:rPr>
          <w:rFonts w:ascii="Times New Roman" w:eastAsia="Times New Roman" w:hAnsi="Times New Roman" w:cs="Times New Roman"/>
          <w:sz w:val="24"/>
          <w:szCs w:val="24"/>
        </w:rPr>
      </w:pPr>
      <w:r>
        <w:rPr>
          <w:noProof/>
          <w:lang w:val="en-US"/>
        </w:rPr>
        <w:drawing>
          <wp:anchor distT="114300" distB="114300" distL="114300" distR="114300" simplePos="0" relativeHeight="251658240" behindDoc="0" locked="0" layoutInCell="1" hidden="0" allowOverlap="1">
            <wp:simplePos x="0" y="0"/>
            <wp:positionH relativeFrom="column">
              <wp:posOffset>-295274</wp:posOffset>
            </wp:positionH>
            <wp:positionV relativeFrom="paragraph">
              <wp:posOffset>369807</wp:posOffset>
            </wp:positionV>
            <wp:extent cx="3433763" cy="2637528"/>
            <wp:effectExtent l="0" t="0" r="0" b="0"/>
            <wp:wrapTopAndBottom distT="114300" distB="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l="5536" t="6073"/>
                    <a:stretch>
                      <a:fillRect/>
                    </a:stretch>
                  </pic:blipFill>
                  <pic:spPr>
                    <a:xfrm>
                      <a:off x="0" y="0"/>
                      <a:ext cx="3433763" cy="2637528"/>
                    </a:xfrm>
                    <a:prstGeom prst="rect">
                      <a:avLst/>
                    </a:prstGeom>
                    <a:ln/>
                  </pic:spPr>
                </pic:pic>
              </a:graphicData>
            </a:graphic>
          </wp:anchor>
        </w:drawing>
      </w:r>
    </w:p>
    <w:p w:rsidR="00C4036B" w:rsidRDefault="000F4898">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114300" distB="114300" distL="114300" distR="114300" simplePos="0" relativeHeight="251659264" behindDoc="0" locked="0" layoutInCell="1" hidden="0" allowOverlap="1">
            <wp:simplePos x="0" y="0"/>
            <wp:positionH relativeFrom="page">
              <wp:posOffset>4110040</wp:posOffset>
            </wp:positionH>
            <wp:positionV relativeFrom="page">
              <wp:posOffset>5409766</wp:posOffset>
            </wp:positionV>
            <wp:extent cx="3438525" cy="2586241"/>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2950" t="6131"/>
                    <a:stretch>
                      <a:fillRect/>
                    </a:stretch>
                  </pic:blipFill>
                  <pic:spPr>
                    <a:xfrm>
                      <a:off x="0" y="0"/>
                      <a:ext cx="3438525" cy="2586241"/>
                    </a:xfrm>
                    <a:prstGeom prst="rect">
                      <a:avLst/>
                    </a:prstGeom>
                    <a:ln/>
                  </pic:spPr>
                </pic:pic>
              </a:graphicData>
            </a:graphic>
          </wp:anchor>
        </w:drawing>
      </w:r>
    </w:p>
    <w:p w:rsidR="00C4036B" w:rsidRDefault="00C4036B">
      <w:pPr>
        <w:spacing w:after="160"/>
        <w:ind w:firstLine="720"/>
        <w:jc w:val="both"/>
        <w:rPr>
          <w:rFonts w:ascii="Times New Roman" w:eastAsia="Times New Roman" w:hAnsi="Times New Roman" w:cs="Times New Roman"/>
          <w:sz w:val="24"/>
          <w:szCs w:val="24"/>
        </w:rPr>
      </w:pPr>
    </w:p>
    <w:p w:rsidR="00C4036B" w:rsidRDefault="000F4898">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present one of the result tables from the empirical strategy run in our research. Our analysis indicates that the ATM density </w:t>
      </w:r>
      <w:proofErr w:type="gramStart"/>
      <w:r>
        <w:rPr>
          <w:rFonts w:ascii="Times New Roman" w:eastAsia="Times New Roman" w:hAnsi="Times New Roman" w:cs="Times New Roman"/>
          <w:sz w:val="24"/>
          <w:szCs w:val="24"/>
        </w:rPr>
        <w:t>impacts on</w:t>
      </w:r>
      <w:proofErr w:type="gramEnd"/>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 small business owners’ income proven in the following tables.</w:t>
      </w:r>
    </w:p>
    <w:p w:rsidR="00C4036B" w:rsidRDefault="00C4036B">
      <w:pPr>
        <w:jc w:val="center"/>
        <w:rPr>
          <w:rFonts w:ascii="Times New Roman" w:eastAsia="Times New Roman" w:hAnsi="Times New Roman" w:cs="Times New Roman"/>
          <w:b/>
          <w:color w:val="010104"/>
          <w:sz w:val="24"/>
          <w:szCs w:val="24"/>
        </w:rPr>
      </w:pPr>
    </w:p>
    <w:p w:rsidR="00C4036B" w:rsidRDefault="000F4898">
      <w:pPr>
        <w:jc w:val="center"/>
        <w:rPr>
          <w:rFonts w:ascii="Times New Roman" w:eastAsia="Times New Roman" w:hAnsi="Times New Roman" w:cs="Times New Roman"/>
          <w:color w:val="010104"/>
          <w:sz w:val="18"/>
          <w:szCs w:val="18"/>
        </w:rPr>
      </w:pPr>
      <w:bookmarkStart w:id="1" w:name="kix.s73uif8kut1r" w:colFirst="0" w:colLast="0"/>
      <w:bookmarkEnd w:id="1"/>
      <w:r>
        <w:rPr>
          <w:rFonts w:ascii="Times New Roman" w:eastAsia="Times New Roman" w:hAnsi="Times New Roman" w:cs="Times New Roman"/>
          <w:b/>
          <w:color w:val="010104"/>
          <w:sz w:val="24"/>
          <w:szCs w:val="24"/>
        </w:rPr>
        <w:t xml:space="preserve">Table 1. General </w:t>
      </w:r>
      <w:r>
        <w:rPr>
          <w:rFonts w:ascii="Times New Roman" w:eastAsia="Times New Roman" w:hAnsi="Times New Roman" w:cs="Times New Roman"/>
          <w:b/>
          <w:sz w:val="24"/>
          <w:szCs w:val="24"/>
        </w:rPr>
        <w:t>Regression fo</w:t>
      </w:r>
      <w:r>
        <w:rPr>
          <w:rFonts w:ascii="Times New Roman" w:eastAsia="Times New Roman" w:hAnsi="Times New Roman" w:cs="Times New Roman"/>
          <w:b/>
          <w:color w:val="010104"/>
          <w:sz w:val="24"/>
          <w:szCs w:val="24"/>
        </w:rPr>
        <w:t xml:space="preserve">r the real income of owners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350"/>
        <w:gridCol w:w="1875"/>
        <w:gridCol w:w="2805"/>
        <w:gridCol w:w="1695"/>
        <w:gridCol w:w="1635"/>
      </w:tblGrid>
      <w:tr w:rsidR="00C4036B">
        <w:trPr>
          <w:trHeight w:val="450"/>
        </w:trPr>
        <w:tc>
          <w:tcPr>
            <w:tcW w:w="1350" w:type="dxa"/>
            <w:tcBorders>
              <w:top w:val="single" w:sz="12" w:space="0" w:color="000000"/>
              <w:left w:val="nil"/>
              <w:bottom w:val="nil"/>
              <w:right w:val="nil"/>
            </w:tcBorders>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 xml:space="preserve"> </w:t>
            </w:r>
          </w:p>
        </w:tc>
        <w:tc>
          <w:tcPr>
            <w:tcW w:w="1875" w:type="dxa"/>
            <w:tcBorders>
              <w:top w:val="single" w:sz="12" w:space="0" w:color="000000"/>
              <w:left w:val="nil"/>
              <w:bottom w:val="nil"/>
              <w:right w:val="nil"/>
            </w:tcBorders>
            <w:tcMar>
              <w:top w:w="20" w:type="dxa"/>
              <w:left w:w="20" w:type="dxa"/>
              <w:bottom w:w="20" w:type="dxa"/>
              <w:right w:w="2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 xml:space="preserve"> </w:t>
            </w:r>
          </w:p>
        </w:tc>
        <w:tc>
          <w:tcPr>
            <w:tcW w:w="2805" w:type="dxa"/>
            <w:tcBorders>
              <w:top w:val="single" w:sz="12" w:space="0" w:color="000000"/>
              <w:left w:val="nil"/>
              <w:bottom w:val="nil"/>
              <w:right w:val="nil"/>
            </w:tcBorders>
            <w:tcMar>
              <w:top w:w="20" w:type="dxa"/>
              <w:left w:w="20" w:type="dxa"/>
              <w:bottom w:w="20" w:type="dxa"/>
              <w:right w:w="2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 xml:space="preserve"> </w:t>
            </w:r>
          </w:p>
        </w:tc>
        <w:tc>
          <w:tcPr>
            <w:tcW w:w="3330" w:type="dxa"/>
            <w:gridSpan w:val="2"/>
            <w:tcBorders>
              <w:top w:val="single" w:sz="12" w:space="0" w:color="000000"/>
              <w:left w:val="nil"/>
              <w:bottom w:val="single" w:sz="8" w:space="0" w:color="000000"/>
              <w:right w:val="nil"/>
            </w:tcBorders>
            <w:tcMar>
              <w:top w:w="20" w:type="dxa"/>
              <w:left w:w="20" w:type="dxa"/>
              <w:bottom w:w="20" w:type="dxa"/>
              <w:right w:w="2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Area</w:t>
            </w:r>
          </w:p>
        </w:tc>
      </w:tr>
      <w:tr w:rsidR="00C4036B">
        <w:tc>
          <w:tcPr>
            <w:tcW w:w="1350" w:type="dxa"/>
            <w:tcBorders>
              <w:top w:val="nil"/>
              <w:left w:val="nil"/>
              <w:bottom w:val="nil"/>
              <w:right w:val="nil"/>
            </w:tcBorders>
            <w:shd w:val="clear" w:color="auto" w:fill="auto"/>
            <w:tcMar>
              <w:top w:w="100" w:type="dxa"/>
              <w:left w:w="100" w:type="dxa"/>
              <w:bottom w:w="100" w:type="dxa"/>
              <w:right w:w="100" w:type="dxa"/>
            </w:tcMar>
          </w:tcPr>
          <w:p w:rsidR="00C4036B" w:rsidRDefault="00C4036B">
            <w:pPr>
              <w:widowControl w:val="0"/>
              <w:spacing w:line="96" w:lineRule="auto"/>
              <w:jc w:val="center"/>
              <w:rPr>
                <w:rFonts w:ascii="Times New Roman" w:eastAsia="Times New Roman" w:hAnsi="Times New Roman" w:cs="Times New Roman"/>
                <w:color w:val="010104"/>
              </w:rPr>
            </w:pPr>
          </w:p>
        </w:tc>
        <w:tc>
          <w:tcPr>
            <w:tcW w:w="187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In general</w:t>
            </w:r>
          </w:p>
        </w:tc>
        <w:tc>
          <w:tcPr>
            <w:tcW w:w="280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 xml:space="preserve">Restaurant related businesses </w:t>
            </w:r>
          </w:p>
        </w:tc>
        <w:tc>
          <w:tcPr>
            <w:tcW w:w="169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Rural</w:t>
            </w:r>
          </w:p>
        </w:tc>
        <w:tc>
          <w:tcPr>
            <w:tcW w:w="1635" w:type="dxa"/>
            <w:tcBorders>
              <w:top w:val="single" w:sz="8" w:space="0" w:color="000000"/>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Urban</w:t>
            </w:r>
          </w:p>
        </w:tc>
      </w:tr>
      <w:tr w:rsidR="00C4036B">
        <w:trPr>
          <w:trHeight w:val="648"/>
        </w:trPr>
        <w:tc>
          <w:tcPr>
            <w:tcW w:w="1350"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 xml:space="preserve"> </w:t>
            </w:r>
          </w:p>
        </w:tc>
        <w:tc>
          <w:tcPr>
            <w:tcW w:w="187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 xml:space="preserve"> (1)</w:t>
            </w:r>
          </w:p>
        </w:tc>
        <w:tc>
          <w:tcPr>
            <w:tcW w:w="280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after="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(2)</w:t>
            </w:r>
          </w:p>
        </w:tc>
        <w:tc>
          <w:tcPr>
            <w:tcW w:w="169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after="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(3)</w:t>
            </w:r>
          </w:p>
        </w:tc>
        <w:tc>
          <w:tcPr>
            <w:tcW w:w="163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after="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(4)</w:t>
            </w:r>
          </w:p>
        </w:tc>
      </w:tr>
      <w:tr w:rsidR="00C4036B">
        <w:trPr>
          <w:trHeight w:val="615"/>
        </w:trPr>
        <w:tc>
          <w:tcPr>
            <w:tcW w:w="1350"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ATM</w:t>
            </w:r>
          </w:p>
        </w:tc>
        <w:tc>
          <w:tcPr>
            <w:tcW w:w="187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11.384***</w:t>
            </w:r>
          </w:p>
        </w:tc>
        <w:tc>
          <w:tcPr>
            <w:tcW w:w="280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25.526***</w:t>
            </w:r>
          </w:p>
        </w:tc>
        <w:tc>
          <w:tcPr>
            <w:tcW w:w="169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-9.203</w:t>
            </w:r>
          </w:p>
        </w:tc>
        <w:tc>
          <w:tcPr>
            <w:tcW w:w="1635" w:type="dxa"/>
            <w:tcBorders>
              <w:top w:val="nil"/>
              <w:left w:val="nil"/>
              <w:bottom w:val="nil"/>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12.117***</w:t>
            </w:r>
          </w:p>
        </w:tc>
      </w:tr>
      <w:tr w:rsidR="00C4036B">
        <w:trPr>
          <w:trHeight w:val="570"/>
        </w:trPr>
        <w:tc>
          <w:tcPr>
            <w:tcW w:w="1350"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C4036B">
            <w:pPr>
              <w:spacing w:before="240" w:after="240" w:line="96" w:lineRule="auto"/>
              <w:jc w:val="center"/>
              <w:rPr>
                <w:rFonts w:ascii="Times New Roman" w:eastAsia="Times New Roman" w:hAnsi="Times New Roman" w:cs="Times New Roman"/>
                <w:color w:val="010104"/>
              </w:rPr>
            </w:pPr>
          </w:p>
        </w:tc>
        <w:tc>
          <w:tcPr>
            <w:tcW w:w="187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(4.033)</w:t>
            </w:r>
          </w:p>
        </w:tc>
        <w:tc>
          <w:tcPr>
            <w:tcW w:w="280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(0.879)</w:t>
            </w:r>
          </w:p>
        </w:tc>
        <w:tc>
          <w:tcPr>
            <w:tcW w:w="169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(11.192)</w:t>
            </w:r>
          </w:p>
        </w:tc>
        <w:tc>
          <w:tcPr>
            <w:tcW w:w="1635" w:type="dxa"/>
            <w:tcBorders>
              <w:top w:val="nil"/>
              <w:left w:val="nil"/>
              <w:bottom w:val="single" w:sz="8"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(4.019)</w:t>
            </w:r>
          </w:p>
        </w:tc>
      </w:tr>
      <w:tr w:rsidR="00C4036B">
        <w:trPr>
          <w:trHeight w:val="585"/>
        </w:trPr>
        <w:tc>
          <w:tcPr>
            <w:tcW w:w="1350" w:type="dxa"/>
            <w:tcBorders>
              <w:top w:val="nil"/>
              <w:left w:val="nil"/>
              <w:bottom w:val="single" w:sz="12"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N</w:t>
            </w:r>
          </w:p>
        </w:tc>
        <w:tc>
          <w:tcPr>
            <w:tcW w:w="1875" w:type="dxa"/>
            <w:tcBorders>
              <w:top w:val="nil"/>
              <w:left w:val="nil"/>
              <w:bottom w:val="single" w:sz="12"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21690</w:t>
            </w:r>
          </w:p>
        </w:tc>
        <w:tc>
          <w:tcPr>
            <w:tcW w:w="2805" w:type="dxa"/>
            <w:tcBorders>
              <w:top w:val="nil"/>
              <w:left w:val="nil"/>
              <w:bottom w:val="single" w:sz="12"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852</w:t>
            </w:r>
          </w:p>
        </w:tc>
        <w:tc>
          <w:tcPr>
            <w:tcW w:w="1695" w:type="dxa"/>
            <w:tcBorders>
              <w:top w:val="nil"/>
              <w:left w:val="nil"/>
              <w:bottom w:val="single" w:sz="12"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368</w:t>
            </w:r>
          </w:p>
        </w:tc>
        <w:tc>
          <w:tcPr>
            <w:tcW w:w="1635" w:type="dxa"/>
            <w:tcBorders>
              <w:top w:val="nil"/>
              <w:left w:val="nil"/>
              <w:bottom w:val="single" w:sz="12" w:space="0" w:color="000000"/>
              <w:right w:val="nil"/>
            </w:tcBorders>
            <w:shd w:val="clear" w:color="auto" w:fill="auto"/>
            <w:tcMar>
              <w:top w:w="100" w:type="dxa"/>
              <w:left w:w="100" w:type="dxa"/>
              <w:bottom w:w="100" w:type="dxa"/>
              <w:right w:w="100" w:type="dxa"/>
            </w:tcMar>
          </w:tcPr>
          <w:p w:rsidR="00C4036B" w:rsidRDefault="000F4898">
            <w:pPr>
              <w:spacing w:before="240" w:line="96" w:lineRule="auto"/>
              <w:jc w:val="center"/>
              <w:rPr>
                <w:rFonts w:ascii="Times New Roman" w:eastAsia="Times New Roman" w:hAnsi="Times New Roman" w:cs="Times New Roman"/>
                <w:color w:val="010104"/>
              </w:rPr>
            </w:pPr>
            <w:r>
              <w:rPr>
                <w:rFonts w:ascii="Times New Roman" w:eastAsia="Times New Roman" w:hAnsi="Times New Roman" w:cs="Times New Roman"/>
                <w:color w:val="010104"/>
              </w:rPr>
              <w:t>21322</w:t>
            </w:r>
          </w:p>
        </w:tc>
      </w:tr>
    </w:tbl>
    <w:p w:rsidR="00C4036B" w:rsidRDefault="000F4898">
      <w:pPr>
        <w:spacing w:before="240" w:after="240"/>
        <w:rPr>
          <w:rFonts w:ascii="Times New Roman" w:eastAsia="Times New Roman" w:hAnsi="Times New Roman" w:cs="Times New Roman"/>
          <w:color w:val="010104"/>
          <w:sz w:val="18"/>
          <w:szCs w:val="18"/>
        </w:rPr>
      </w:pPr>
      <w:r>
        <w:rPr>
          <w:rFonts w:ascii="Times New Roman" w:eastAsia="Times New Roman" w:hAnsi="Times New Roman" w:cs="Times New Roman"/>
          <w:color w:val="010104"/>
          <w:sz w:val="18"/>
          <w:szCs w:val="18"/>
        </w:rPr>
        <w:t>Notes: "* p&lt;0.10    ** p&lt;0.05     *** p&lt;0.01</w:t>
      </w:r>
    </w:p>
    <w:p w:rsidR="00C4036B" w:rsidRDefault="000F4898">
      <w:pPr>
        <w:spacing w:before="240" w:after="240" w:line="240" w:lineRule="auto"/>
        <w:rPr>
          <w:rFonts w:ascii="Times New Roman" w:eastAsia="Times New Roman" w:hAnsi="Times New Roman" w:cs="Times New Roman"/>
          <w:color w:val="010104"/>
          <w:sz w:val="18"/>
          <w:szCs w:val="18"/>
        </w:rPr>
      </w:pPr>
      <w:r>
        <w:rPr>
          <w:rFonts w:ascii="Times New Roman" w:eastAsia="Times New Roman" w:hAnsi="Times New Roman" w:cs="Times New Roman"/>
          <w:color w:val="010104"/>
          <w:sz w:val="18"/>
          <w:szCs w:val="18"/>
        </w:rPr>
        <w:t xml:space="preserve">The validity of results can be determined by the parenthesis </w:t>
      </w:r>
      <w:proofErr w:type="gramStart"/>
      <w:r>
        <w:rPr>
          <w:rFonts w:ascii="Times New Roman" w:eastAsia="Times New Roman" w:hAnsi="Times New Roman" w:cs="Times New Roman"/>
          <w:color w:val="010104"/>
          <w:sz w:val="18"/>
          <w:szCs w:val="18"/>
        </w:rPr>
        <w:t>value which</w:t>
      </w:r>
      <w:proofErr w:type="gramEnd"/>
      <w:r>
        <w:rPr>
          <w:rFonts w:ascii="Times New Roman" w:eastAsia="Times New Roman" w:hAnsi="Times New Roman" w:cs="Times New Roman"/>
          <w:color w:val="010104"/>
          <w:sz w:val="18"/>
          <w:szCs w:val="18"/>
        </w:rPr>
        <w:t xml:space="preserve"> expresses the probability of errors. N illustrates the number of individuals.</w:t>
      </w:r>
    </w:p>
    <w:p w:rsidR="00C4036B" w:rsidRDefault="00C4036B">
      <w:pPr>
        <w:spacing w:after="160"/>
        <w:ind w:firstLine="720"/>
        <w:jc w:val="both"/>
        <w:rPr>
          <w:rFonts w:ascii="Times New Roman" w:eastAsia="Times New Roman" w:hAnsi="Times New Roman" w:cs="Times New Roman"/>
          <w:sz w:val="24"/>
          <w:szCs w:val="24"/>
        </w:rPr>
      </w:pPr>
    </w:p>
    <w:p w:rsidR="00C4036B" w:rsidRDefault="000F4898">
      <w:pPr>
        <w:ind w:firstLine="720"/>
        <w:jc w:val="both"/>
        <w:rPr>
          <w:rFonts w:ascii="Times New Roman" w:eastAsia="Times New Roman" w:hAnsi="Times New Roman" w:cs="Times New Roman"/>
          <w:color w:val="010104"/>
          <w:sz w:val="24"/>
          <w:szCs w:val="24"/>
        </w:rPr>
      </w:pPr>
      <w:r>
        <w:rPr>
          <w:rFonts w:ascii="Times New Roman" w:eastAsia="Times New Roman" w:hAnsi="Times New Roman" w:cs="Times New Roman"/>
          <w:color w:val="010104"/>
          <w:sz w:val="24"/>
          <w:szCs w:val="24"/>
        </w:rPr>
        <w:t xml:space="preserve">The table presents the baseline results and Column 1 reports the result of variables we controlled. According to the baseline results, an additional ATM per 1000 people will increase the income of owners by $11,300 while it increases the income by $25,500 </w:t>
      </w:r>
      <w:r>
        <w:rPr>
          <w:rFonts w:ascii="Times New Roman" w:eastAsia="Times New Roman" w:hAnsi="Times New Roman" w:cs="Times New Roman"/>
          <w:color w:val="010104"/>
          <w:sz w:val="24"/>
          <w:szCs w:val="24"/>
        </w:rPr>
        <w:t>in column 2, where we limited a sample to the restaurant-related businesses. From these results, we can conclude that the businesses in the foodservice sector are highly affected by ATM density. The frequency of the purchases daily is relatively higher tha</w:t>
      </w:r>
      <w:r>
        <w:rPr>
          <w:rFonts w:ascii="Times New Roman" w:eastAsia="Times New Roman" w:hAnsi="Times New Roman" w:cs="Times New Roman"/>
          <w:color w:val="010104"/>
          <w:sz w:val="24"/>
          <w:szCs w:val="24"/>
        </w:rPr>
        <w:t xml:space="preserve">n other sectors, that food </w:t>
      </w:r>
      <w:proofErr w:type="gramStart"/>
      <w:r>
        <w:rPr>
          <w:rFonts w:ascii="Times New Roman" w:eastAsia="Times New Roman" w:hAnsi="Times New Roman" w:cs="Times New Roman"/>
          <w:color w:val="010104"/>
          <w:sz w:val="24"/>
          <w:szCs w:val="24"/>
        </w:rPr>
        <w:t>is ordered and paid by each customer/a group of customers</w:t>
      </w:r>
      <w:proofErr w:type="gramEnd"/>
      <w:r>
        <w:rPr>
          <w:rFonts w:ascii="Times New Roman" w:eastAsia="Times New Roman" w:hAnsi="Times New Roman" w:cs="Times New Roman"/>
          <w:color w:val="010104"/>
          <w:sz w:val="24"/>
          <w:szCs w:val="24"/>
        </w:rPr>
        <w:t>. Most of the small businesses we collect are located in the urban area and the income of owners will increase by $12.1 with the increase of each ATM per 1000 people. All t</w:t>
      </w:r>
      <w:r>
        <w:rPr>
          <w:rFonts w:ascii="Times New Roman" w:eastAsia="Times New Roman" w:hAnsi="Times New Roman" w:cs="Times New Roman"/>
          <w:color w:val="010104"/>
          <w:sz w:val="24"/>
          <w:szCs w:val="24"/>
        </w:rPr>
        <w:t xml:space="preserve">he results except, one with control in rural areas, are statistically significant at 1% significance level. </w:t>
      </w:r>
    </w:p>
    <w:p w:rsidR="00C4036B" w:rsidRDefault="00C4036B">
      <w:pPr>
        <w:ind w:firstLine="720"/>
        <w:jc w:val="both"/>
        <w:rPr>
          <w:rFonts w:ascii="Times New Roman" w:eastAsia="Times New Roman" w:hAnsi="Times New Roman" w:cs="Times New Roman"/>
          <w:color w:val="010104"/>
          <w:sz w:val="24"/>
          <w:szCs w:val="24"/>
        </w:rPr>
      </w:pPr>
    </w:p>
    <w:p w:rsidR="00C4036B" w:rsidRDefault="000F4898">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we find that the acceptance of cash leads to an increase in the </w:t>
      </w:r>
      <w:proofErr w:type="gramStart"/>
      <w:r>
        <w:rPr>
          <w:rFonts w:ascii="Times New Roman" w:eastAsia="Times New Roman" w:hAnsi="Times New Roman" w:cs="Times New Roman"/>
          <w:sz w:val="24"/>
          <w:szCs w:val="24"/>
        </w:rPr>
        <w:t>owners</w:t>
      </w:r>
      <w:proofErr w:type="gramEnd"/>
      <w:r>
        <w:rPr>
          <w:rFonts w:ascii="Times New Roman" w:eastAsia="Times New Roman" w:hAnsi="Times New Roman" w:cs="Times New Roman"/>
          <w:sz w:val="24"/>
          <w:szCs w:val="24"/>
        </w:rPr>
        <w:t xml:space="preserve"> income, adopting the digital payment methods can be inevitable in </w:t>
      </w:r>
      <w:r>
        <w:rPr>
          <w:rFonts w:ascii="Times New Roman" w:eastAsia="Times New Roman" w:hAnsi="Times New Roman" w:cs="Times New Roman"/>
          <w:sz w:val="24"/>
          <w:szCs w:val="24"/>
        </w:rPr>
        <w:t xml:space="preserve">the near future. Given that smaller firms </w:t>
      </w:r>
      <w:proofErr w:type="gramStart"/>
      <w:r>
        <w:rPr>
          <w:rFonts w:ascii="Times New Roman" w:eastAsia="Times New Roman" w:hAnsi="Times New Roman" w:cs="Times New Roman"/>
          <w:sz w:val="24"/>
          <w:szCs w:val="24"/>
        </w:rPr>
        <w:t>are more affected</w:t>
      </w:r>
      <w:proofErr w:type="gramEnd"/>
      <w:r>
        <w:rPr>
          <w:rFonts w:ascii="Times New Roman" w:eastAsia="Times New Roman" w:hAnsi="Times New Roman" w:cs="Times New Roman"/>
          <w:sz w:val="24"/>
          <w:szCs w:val="24"/>
        </w:rPr>
        <w:t xml:space="preserve"> by the accessibility to cash, the relevant policies promoting digital payments can be implemented for those small business owners.</w:t>
      </w:r>
    </w:p>
    <w:p w:rsidR="00C4036B" w:rsidRDefault="000F4898">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thank Albion College’s Summer FURSCA </w:t>
      </w:r>
      <w:proofErr w:type="gramStart"/>
      <w:r>
        <w:rPr>
          <w:rFonts w:ascii="Times New Roman" w:eastAsia="Times New Roman" w:hAnsi="Times New Roman" w:cs="Times New Roman"/>
          <w:sz w:val="24"/>
          <w:szCs w:val="24"/>
        </w:rPr>
        <w:t>Program and Vernon</w:t>
      </w:r>
      <w:proofErr w:type="gramEnd"/>
      <w:r>
        <w:rPr>
          <w:rFonts w:ascii="Times New Roman" w:eastAsia="Times New Roman" w:hAnsi="Times New Roman" w:cs="Times New Roman"/>
          <w:sz w:val="24"/>
          <w:szCs w:val="24"/>
        </w:rPr>
        <w:t xml:space="preserve"> and Gl</w:t>
      </w:r>
      <w:r>
        <w:rPr>
          <w:rFonts w:ascii="Times New Roman" w:eastAsia="Times New Roman" w:hAnsi="Times New Roman" w:cs="Times New Roman"/>
          <w:sz w:val="24"/>
          <w:szCs w:val="24"/>
        </w:rPr>
        <w:t>adys B. Lawson Endowed Research Fellowship for funding this project.</w:t>
      </w:r>
    </w:p>
    <w:sectPr w:rsidR="00C403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6B"/>
    <w:rsid w:val="000F4898"/>
    <w:rsid w:val="00C4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E7585-172F-4910-9474-380D7C4C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2021-07-26T13:14:00Z</dcterms:created>
  <dcterms:modified xsi:type="dcterms:W3CDTF">2021-07-26T13:14:00Z</dcterms:modified>
</cp:coreProperties>
</file>