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21E" w:rsidRPr="00A2721E" w:rsidRDefault="00A2721E" w:rsidP="00A2721E">
      <w:pPr>
        <w:rPr>
          <w:sz w:val="36"/>
          <w:szCs w:val="36"/>
        </w:rPr>
      </w:pPr>
      <w:r w:rsidRPr="00A2721E">
        <w:rPr>
          <w:sz w:val="36"/>
          <w:szCs w:val="36"/>
        </w:rPr>
        <w:t>SUMMER 2017 COURSE DECRIPTIONS</w:t>
      </w:r>
      <w:bookmarkStart w:id="0" w:name="_GoBack"/>
      <w:bookmarkEnd w:id="0"/>
    </w:p>
    <w:p w:rsidR="00A2721E" w:rsidRPr="00A2721E" w:rsidRDefault="00A2721E" w:rsidP="00A2721E"/>
    <w:p w:rsidR="00A2721E" w:rsidRPr="00A2721E" w:rsidRDefault="00A2721E" w:rsidP="00A2721E">
      <w:pPr>
        <w:rPr>
          <w:sz w:val="28"/>
          <w:szCs w:val="28"/>
          <w:u w:val="single"/>
        </w:rPr>
      </w:pPr>
      <w:r w:rsidRPr="00A2721E">
        <w:rPr>
          <w:sz w:val="28"/>
          <w:szCs w:val="28"/>
          <w:u w:val="single"/>
        </w:rPr>
        <w:t>ON-CAMPUS COURSES:</w:t>
      </w:r>
    </w:p>
    <w:p w:rsidR="00A2721E" w:rsidRPr="00A2721E" w:rsidRDefault="00A2721E" w:rsidP="00A2721E">
      <w:pPr>
        <w:pStyle w:val="NoSpacing"/>
        <w:rPr>
          <w:rFonts w:ascii="Georgia" w:hAnsi="Georgia"/>
          <w:b/>
        </w:rPr>
      </w:pPr>
      <w:r w:rsidRPr="00A2721E">
        <w:rPr>
          <w:rFonts w:ascii="Georgia" w:hAnsi="Georgia"/>
          <w:b/>
        </w:rPr>
        <w:t>COMM 242: Professional Communication</w:t>
      </w:r>
    </w:p>
    <w:p w:rsidR="00A2721E" w:rsidRDefault="00A2721E" w:rsidP="00A2721E">
      <w:pPr>
        <w:pStyle w:val="NoSpacing"/>
        <w:rPr>
          <w:i/>
          <w:iCs/>
        </w:rPr>
      </w:pPr>
      <w:r w:rsidRPr="00A2721E">
        <w:t xml:space="preserve"> (1 Unit)</w:t>
      </w:r>
      <w:r w:rsidRPr="00A2721E">
        <w:br/>
        <w:t xml:space="preserve">Prerequisite: For students in the Carl A. </w:t>
      </w:r>
      <w:proofErr w:type="spellStart"/>
      <w:r w:rsidRPr="00A2721E">
        <w:t>Gerstacker</w:t>
      </w:r>
      <w:proofErr w:type="spellEnd"/>
      <w:r w:rsidRPr="00A2721E">
        <w:t xml:space="preserve"> Institute for Business and Management, or permission of instructor. </w:t>
      </w:r>
      <w:r w:rsidRPr="00A2721E">
        <w:br/>
        <w:t>Focuses on individual communication skills that enhance professional and career development, including skills needed in the business world. Develops writing skills, presentation skills, and the ability to communicate and work with others.</w:t>
      </w:r>
      <w:r>
        <w:t xml:space="preserve"> </w:t>
      </w:r>
      <w:proofErr w:type="spellStart"/>
      <w:r w:rsidRPr="00A2721E">
        <w:rPr>
          <w:i/>
          <w:iCs/>
        </w:rPr>
        <w:t>Erlandson</w:t>
      </w:r>
      <w:proofErr w:type="spellEnd"/>
      <w:r w:rsidRPr="00A2721E">
        <w:rPr>
          <w:i/>
          <w:iCs/>
        </w:rPr>
        <w:t>, Staff.</w:t>
      </w:r>
    </w:p>
    <w:p w:rsidR="00A2721E" w:rsidRPr="00A2721E" w:rsidRDefault="00A2721E" w:rsidP="00A2721E">
      <w:pPr>
        <w:pStyle w:val="NoSpacing"/>
        <w:rPr>
          <w:i/>
          <w:iCs/>
          <w:sz w:val="28"/>
          <w:szCs w:val="28"/>
        </w:rPr>
      </w:pPr>
    </w:p>
    <w:p w:rsidR="00A2721E" w:rsidRPr="00A2721E" w:rsidRDefault="00A2721E" w:rsidP="00A2721E">
      <w:pPr>
        <w:pStyle w:val="NoSpacing"/>
        <w:rPr>
          <w:rFonts w:ascii="Georgia" w:hAnsi="Georgia"/>
          <w:b/>
        </w:rPr>
      </w:pPr>
      <w:r w:rsidRPr="00A2721E">
        <w:rPr>
          <w:rFonts w:ascii="Georgia" w:hAnsi="Georgia"/>
          <w:b/>
        </w:rPr>
        <w:t>E&amp;M 357: Business Functions</w:t>
      </w:r>
    </w:p>
    <w:p w:rsidR="00A2721E" w:rsidRPr="00A2721E" w:rsidRDefault="00A2721E" w:rsidP="00A2721E">
      <w:pPr>
        <w:pStyle w:val="NoSpacing"/>
      </w:pPr>
      <w:r w:rsidRPr="00A2721E">
        <w:t xml:space="preserve"> (1 Unit)</w:t>
      </w:r>
      <w:r w:rsidRPr="00A2721E">
        <w:br/>
        <w:t>Prerequisite: Permission of instructor. </w:t>
      </w:r>
      <w:r w:rsidRPr="00A2721E">
        <w:br/>
        <w:t>Selected topics in management, finance and marketing for students in the Management for the Professions Concentration. The course highlights fundamental concepts with particular attention to their interactions within the context of the management of an organization. </w:t>
      </w:r>
      <w:proofErr w:type="spellStart"/>
      <w:r w:rsidRPr="00A2721E">
        <w:rPr>
          <w:i/>
          <w:iCs/>
        </w:rPr>
        <w:t>Bedient</w:t>
      </w:r>
      <w:proofErr w:type="spellEnd"/>
      <w:r w:rsidRPr="00A2721E">
        <w:rPr>
          <w:i/>
          <w:iCs/>
        </w:rPr>
        <w:t>.</w:t>
      </w:r>
    </w:p>
    <w:p w:rsidR="00A2721E" w:rsidRPr="00A2721E" w:rsidRDefault="00A2721E" w:rsidP="00A2721E"/>
    <w:p w:rsidR="00A2721E" w:rsidRPr="00A2721E" w:rsidRDefault="00A2721E" w:rsidP="00A2721E">
      <w:pPr>
        <w:rPr>
          <w:sz w:val="28"/>
          <w:szCs w:val="28"/>
          <w:u w:val="single"/>
        </w:rPr>
      </w:pPr>
      <w:r w:rsidRPr="00A2721E">
        <w:rPr>
          <w:sz w:val="28"/>
          <w:szCs w:val="28"/>
          <w:u w:val="single"/>
        </w:rPr>
        <w:t>ON-LINE COURSES:</w:t>
      </w:r>
    </w:p>
    <w:p w:rsidR="00A2721E" w:rsidRPr="00A2721E" w:rsidRDefault="00A2721E" w:rsidP="00A2721E">
      <w:pPr>
        <w:pStyle w:val="NoSpacing"/>
        <w:rPr>
          <w:rFonts w:ascii="Georgia" w:hAnsi="Georgia"/>
          <w:b/>
        </w:rPr>
      </w:pPr>
      <w:r w:rsidRPr="00A2721E">
        <w:rPr>
          <w:rFonts w:ascii="Georgia" w:hAnsi="Georgia"/>
          <w:b/>
        </w:rPr>
        <w:t>ART 241: Photography I</w:t>
      </w:r>
    </w:p>
    <w:p w:rsidR="00A2721E" w:rsidRDefault="00A2721E" w:rsidP="00A2721E">
      <w:pPr>
        <w:pStyle w:val="NoSpacing"/>
        <w:rPr>
          <w:i/>
          <w:iCs/>
        </w:rPr>
      </w:pPr>
      <w:r w:rsidRPr="00A2721E">
        <w:t xml:space="preserve"> (1 Unit)</w:t>
      </w:r>
      <w:r w:rsidRPr="00A2721E">
        <w:br/>
        <w:t>An introduction to the technical and aesthetic aspects of photography and its cultural significance: photo literacy, compositional elements, and the creation and critique of work through the use of emerging technology in the field of photography. </w:t>
      </w:r>
      <w:proofErr w:type="spellStart"/>
      <w:r w:rsidRPr="00A2721E">
        <w:rPr>
          <w:i/>
          <w:iCs/>
        </w:rPr>
        <w:t>Feagin</w:t>
      </w:r>
      <w:proofErr w:type="spellEnd"/>
      <w:r w:rsidRPr="00A2721E">
        <w:rPr>
          <w:i/>
          <w:iCs/>
        </w:rPr>
        <w:t>.</w:t>
      </w:r>
    </w:p>
    <w:p w:rsidR="00A2721E" w:rsidRPr="00A2721E" w:rsidRDefault="00A2721E" w:rsidP="00A2721E">
      <w:pPr>
        <w:pStyle w:val="NoSpacing"/>
        <w:rPr>
          <w:i/>
          <w:iCs/>
          <w:sz w:val="28"/>
          <w:szCs w:val="28"/>
        </w:rPr>
      </w:pPr>
    </w:p>
    <w:p w:rsidR="00A2721E" w:rsidRPr="00A2721E" w:rsidRDefault="00A2721E" w:rsidP="00A2721E">
      <w:pPr>
        <w:pStyle w:val="NoSpacing"/>
        <w:rPr>
          <w:rFonts w:ascii="Georgia" w:hAnsi="Georgia"/>
          <w:b/>
        </w:rPr>
      </w:pPr>
      <w:r w:rsidRPr="00A2721E">
        <w:rPr>
          <w:rFonts w:ascii="Georgia" w:hAnsi="Georgia"/>
          <w:b/>
        </w:rPr>
        <w:t>COMM 101: Introduction to Human Communication</w:t>
      </w:r>
    </w:p>
    <w:p w:rsidR="00A2721E" w:rsidRDefault="00A2721E" w:rsidP="00A2721E">
      <w:pPr>
        <w:pStyle w:val="NoSpacing"/>
        <w:rPr>
          <w:i/>
          <w:iCs/>
        </w:rPr>
      </w:pPr>
      <w:r w:rsidRPr="00A2721E">
        <w:t>(1 Unit)</w:t>
      </w:r>
      <w:r w:rsidRPr="00A2721E">
        <w:br/>
      </w:r>
      <w:r w:rsidRPr="00A2721E">
        <w:t>An introduction to the study of communication. Students investigate communication theory</w:t>
      </w:r>
      <w:r w:rsidRPr="00A2721E">
        <w:t>, models, symbols and signs, verbal and nonverbal communication, interpersonal communication, group communication, organizational communication, mass communication, communication ethics and new communication technologies.</w:t>
      </w:r>
      <w:r w:rsidRPr="00A2721E">
        <w:t> </w:t>
      </w:r>
      <w:r w:rsidRPr="00A2721E">
        <w:rPr>
          <w:i/>
          <w:iCs/>
        </w:rPr>
        <w:t>Staff.</w:t>
      </w:r>
    </w:p>
    <w:p w:rsidR="00A2721E" w:rsidRPr="00A2721E" w:rsidRDefault="00A2721E" w:rsidP="00A2721E">
      <w:pPr>
        <w:pStyle w:val="NoSpacing"/>
        <w:rPr>
          <w:i/>
          <w:iCs/>
          <w:sz w:val="28"/>
          <w:szCs w:val="28"/>
        </w:rPr>
      </w:pPr>
    </w:p>
    <w:p w:rsidR="00A2721E" w:rsidRPr="00A2721E" w:rsidRDefault="00A2721E" w:rsidP="00A2721E">
      <w:pPr>
        <w:pStyle w:val="NoSpacing"/>
        <w:rPr>
          <w:rFonts w:ascii="Georgia" w:hAnsi="Georgia"/>
          <w:b/>
        </w:rPr>
      </w:pPr>
      <w:r w:rsidRPr="00A2721E">
        <w:rPr>
          <w:rFonts w:ascii="Georgia" w:hAnsi="Georgia"/>
          <w:b/>
        </w:rPr>
        <w:t>COMM 213: Intercultural Communication</w:t>
      </w:r>
    </w:p>
    <w:p w:rsidR="00A2721E" w:rsidRDefault="00A2721E" w:rsidP="00A2721E">
      <w:pPr>
        <w:pStyle w:val="NoSpacing"/>
        <w:rPr>
          <w:i/>
          <w:iCs/>
        </w:rPr>
      </w:pPr>
      <w:r w:rsidRPr="00A2721E">
        <w:t xml:space="preserve"> (1 Unit)</w:t>
      </w:r>
      <w:r w:rsidRPr="00A2721E">
        <w:br/>
        <w:t>An exploration of the role communication plays in defining and sustaining culture both globally and locally. By applying current research and theories in intercultural communication, students are introduced to major topics pertaining to communication between cultures. Topics include, but are not limited to: the way a culture’s deep meaning structure impacts the way people communicate, culture-specific verbal and nonverbal norms, advice on verbal and nonverbal behavior when doing business internationally, adjusting to culture shock and exploring various subcultures in the United States. </w:t>
      </w:r>
      <w:proofErr w:type="spellStart"/>
      <w:r w:rsidRPr="00A2721E">
        <w:rPr>
          <w:i/>
          <w:iCs/>
        </w:rPr>
        <w:t>Erlandson</w:t>
      </w:r>
      <w:proofErr w:type="spellEnd"/>
      <w:r w:rsidRPr="00A2721E">
        <w:rPr>
          <w:i/>
          <w:iCs/>
        </w:rPr>
        <w:t>.</w:t>
      </w:r>
    </w:p>
    <w:p w:rsidR="00A2721E" w:rsidRPr="00A2721E" w:rsidRDefault="00A2721E" w:rsidP="00A2721E">
      <w:pPr>
        <w:pStyle w:val="NoSpacing"/>
        <w:rPr>
          <w:i/>
          <w:iCs/>
          <w:sz w:val="28"/>
          <w:szCs w:val="28"/>
        </w:rPr>
      </w:pPr>
    </w:p>
    <w:p w:rsidR="00A2721E" w:rsidRPr="00A2721E" w:rsidRDefault="00A2721E" w:rsidP="00A2721E">
      <w:pPr>
        <w:pStyle w:val="NoSpacing"/>
        <w:rPr>
          <w:rFonts w:ascii="Georgia" w:hAnsi="Georgia"/>
          <w:b/>
        </w:rPr>
      </w:pPr>
      <w:r w:rsidRPr="00A2721E">
        <w:rPr>
          <w:rFonts w:ascii="Georgia" w:hAnsi="Georgia"/>
          <w:b/>
        </w:rPr>
        <w:t>COMM 289: Nonverbal Communication</w:t>
      </w:r>
    </w:p>
    <w:p w:rsidR="00A2721E" w:rsidRDefault="00A2721E" w:rsidP="00A2721E">
      <w:pPr>
        <w:pStyle w:val="NoSpacing"/>
        <w:rPr>
          <w:i/>
        </w:rPr>
      </w:pPr>
      <w:r w:rsidRPr="00A2721E">
        <w:t xml:space="preserve"> (1 Unit)</w:t>
      </w:r>
      <w:r w:rsidRPr="00A2721E">
        <w:br/>
        <w:t xml:space="preserve">An introduction to the study of nonverbal communication in online contexts.  Students will be introduced to various channels of nonverbal communication concepts (e.g., physical attractiveness, proxemics) and will learn how we use these channels to create impressions and make judgements, communicate power and persuasion, as well as emotions in online contexts.  Students will also learn about gender and cultural differences in nonverbal communication and nonverbal communication in online contexts.  </w:t>
      </w:r>
      <w:r w:rsidRPr="00A2721E">
        <w:rPr>
          <w:i/>
        </w:rPr>
        <w:t>Mutter.</w:t>
      </w:r>
    </w:p>
    <w:p w:rsidR="00A2721E" w:rsidRDefault="00A2721E" w:rsidP="00A2721E">
      <w:pPr>
        <w:pStyle w:val="NoSpacing"/>
        <w:rPr>
          <w:i/>
        </w:rPr>
      </w:pPr>
    </w:p>
    <w:p w:rsidR="00A2721E" w:rsidRDefault="00A2721E" w:rsidP="00A2721E">
      <w:pPr>
        <w:pStyle w:val="NoSpacing"/>
        <w:rPr>
          <w:i/>
        </w:rPr>
      </w:pPr>
    </w:p>
    <w:p w:rsidR="00A2721E" w:rsidRPr="00A2721E" w:rsidRDefault="00A2721E" w:rsidP="00A2721E">
      <w:pPr>
        <w:pStyle w:val="NoSpacing"/>
        <w:rPr>
          <w:rFonts w:ascii="Georgia" w:hAnsi="Georgia"/>
          <w:b/>
        </w:rPr>
      </w:pPr>
      <w:r w:rsidRPr="00A2721E">
        <w:rPr>
          <w:rFonts w:ascii="Georgia" w:hAnsi="Georgia"/>
          <w:b/>
        </w:rPr>
        <w:lastRenderedPageBreak/>
        <w:t>E&amp;M 362: International Management</w:t>
      </w:r>
    </w:p>
    <w:p w:rsidR="00A2721E" w:rsidRDefault="00A2721E" w:rsidP="00A2721E">
      <w:pPr>
        <w:pStyle w:val="NoSpacing"/>
        <w:rPr>
          <w:i/>
          <w:iCs/>
        </w:rPr>
      </w:pPr>
      <w:r w:rsidRPr="00A2721E">
        <w:t xml:space="preserve"> (1 Unit)</w:t>
      </w:r>
      <w:r w:rsidRPr="00A2721E">
        <w:br/>
        <w:t>Prerequisite: Junior or senior standing. </w:t>
      </w:r>
      <w:r w:rsidRPr="00A2721E">
        <w:br/>
        <w:t xml:space="preserve">Cross-cultural, ethical and social issues related to doing business abroad. Corporate strategy and structure, communication, negotiation, human resources and marketing in multinational operations. Not offered every </w:t>
      </w:r>
      <w:proofErr w:type="spellStart"/>
      <w:r w:rsidRPr="00A2721E">
        <w:t>year.</w:t>
      </w:r>
      <w:r w:rsidRPr="00A2721E">
        <w:rPr>
          <w:i/>
          <w:iCs/>
        </w:rPr>
        <w:t>Baker</w:t>
      </w:r>
      <w:proofErr w:type="spellEnd"/>
      <w:r w:rsidRPr="00A2721E">
        <w:rPr>
          <w:i/>
          <w:iCs/>
        </w:rPr>
        <w:t>.</w:t>
      </w:r>
    </w:p>
    <w:p w:rsidR="00A2721E" w:rsidRPr="00A2721E" w:rsidRDefault="00A2721E" w:rsidP="00A2721E">
      <w:pPr>
        <w:pStyle w:val="NoSpacing"/>
        <w:rPr>
          <w:i/>
          <w:iCs/>
          <w:sz w:val="28"/>
          <w:szCs w:val="28"/>
        </w:rPr>
      </w:pPr>
    </w:p>
    <w:p w:rsidR="00A2721E" w:rsidRPr="00A2721E" w:rsidRDefault="00A2721E" w:rsidP="00A2721E">
      <w:pPr>
        <w:pStyle w:val="NoSpacing"/>
        <w:rPr>
          <w:rFonts w:ascii="Georgia" w:hAnsi="Georgia"/>
          <w:b/>
        </w:rPr>
      </w:pPr>
      <w:r w:rsidRPr="00A2721E">
        <w:rPr>
          <w:rFonts w:ascii="Georgia" w:hAnsi="Georgia"/>
          <w:b/>
        </w:rPr>
        <w:t>GEOL 314: Field Methods</w:t>
      </w:r>
    </w:p>
    <w:p w:rsidR="00A2721E" w:rsidRDefault="00A2721E" w:rsidP="00A2721E">
      <w:pPr>
        <w:pStyle w:val="NoSpacing"/>
        <w:rPr>
          <w:i/>
          <w:iCs/>
        </w:rPr>
      </w:pPr>
      <w:r>
        <w:t>(</w:t>
      </w:r>
      <w:r w:rsidRPr="00A2721E">
        <w:t>2 Units</w:t>
      </w:r>
      <w:r>
        <w:t>)</w:t>
      </w:r>
      <w:r w:rsidRPr="00A2721E">
        <w:br/>
        <w:t>Prerequisites: </w:t>
      </w:r>
      <w:hyperlink r:id="rId4" w:anchor="tt6130" w:tgtFrame="_blank" w:history="1">
        <w:r w:rsidRPr="00A2721E">
          <w:rPr>
            <w:rStyle w:val="Hyperlink"/>
          </w:rPr>
          <w:t>GEOL 201</w:t>
        </w:r>
      </w:hyperlink>
      <w:r w:rsidRPr="00A2721E">
        <w:t>, </w:t>
      </w:r>
      <w:hyperlink r:id="rId5" w:anchor="tt3694" w:tgtFrame="_blank" w:history="1">
        <w:r w:rsidRPr="00A2721E">
          <w:rPr>
            <w:rStyle w:val="Hyperlink"/>
          </w:rPr>
          <w:t>GEOL 204</w:t>
        </w:r>
      </w:hyperlink>
      <w:r w:rsidRPr="00A2721E">
        <w:t>, </w:t>
      </w:r>
      <w:hyperlink r:id="rId6" w:anchor="tt8257" w:tgtFrame="_blank" w:history="1">
        <w:r w:rsidRPr="00A2721E">
          <w:rPr>
            <w:rStyle w:val="Hyperlink"/>
          </w:rPr>
          <w:t>GEOL 205</w:t>
        </w:r>
      </w:hyperlink>
      <w:r w:rsidRPr="00A2721E">
        <w:t> (or their equivalents) or permission of instructors. </w:t>
      </w:r>
      <w:r w:rsidRPr="00A2721E">
        <w:br/>
        <w:t>Summer field camp course focused on geologic mapping in the northern Rocky Mountains. Field work is done in sedimentary, metamorphic and igneous rocks. Offered in summer session, in alternate years. </w:t>
      </w:r>
      <w:r w:rsidRPr="00A2721E">
        <w:rPr>
          <w:i/>
          <w:iCs/>
        </w:rPr>
        <w:t>Staff.</w:t>
      </w:r>
    </w:p>
    <w:p w:rsidR="00A2721E" w:rsidRPr="00A2721E" w:rsidRDefault="00A2721E" w:rsidP="00A2721E">
      <w:pPr>
        <w:pStyle w:val="NoSpacing"/>
        <w:rPr>
          <w:i/>
          <w:iCs/>
          <w:sz w:val="28"/>
          <w:szCs w:val="28"/>
        </w:rPr>
      </w:pPr>
    </w:p>
    <w:p w:rsidR="00A2721E" w:rsidRPr="00A2721E" w:rsidRDefault="00A2721E" w:rsidP="00A2721E">
      <w:pPr>
        <w:pStyle w:val="NoSpacing"/>
        <w:rPr>
          <w:rFonts w:ascii="Georgia" w:hAnsi="Georgia"/>
          <w:b/>
        </w:rPr>
      </w:pPr>
      <w:r w:rsidRPr="00A2721E">
        <w:rPr>
          <w:rFonts w:ascii="Georgia" w:hAnsi="Georgia"/>
          <w:b/>
        </w:rPr>
        <w:t>KIN 200: Medical Terminology</w:t>
      </w:r>
    </w:p>
    <w:p w:rsidR="00A2721E" w:rsidRDefault="00A2721E" w:rsidP="00A2721E">
      <w:pPr>
        <w:pStyle w:val="NoSpacing"/>
        <w:rPr>
          <w:i/>
          <w:iCs/>
        </w:rPr>
      </w:pPr>
      <w:r w:rsidRPr="00A2721E">
        <w:t xml:space="preserve"> (1/2 Unit)</w:t>
      </w:r>
      <w:r w:rsidRPr="00A2721E">
        <w:br/>
        <w:t>Focuses on the language of medicine—the prefixes, suffixes, word roots and their combining forms—by review of each system of the body. Emphasizes word construction, spelling, usage, comprehension and pronunciation. Introduces students to anatomy and physiology, pathology, diagnostic/surgical procedures, pharmacology and medical abbreviations. </w:t>
      </w:r>
      <w:r w:rsidRPr="00A2721E">
        <w:rPr>
          <w:i/>
          <w:iCs/>
        </w:rPr>
        <w:t>Betz, C. Moss.</w:t>
      </w:r>
    </w:p>
    <w:p w:rsidR="00A2721E" w:rsidRPr="00A2721E" w:rsidRDefault="00A2721E" w:rsidP="00A2721E">
      <w:pPr>
        <w:pStyle w:val="NoSpacing"/>
        <w:rPr>
          <w:i/>
          <w:iCs/>
          <w:sz w:val="28"/>
          <w:szCs w:val="28"/>
        </w:rPr>
      </w:pPr>
    </w:p>
    <w:p w:rsidR="00A2721E" w:rsidRPr="00A2721E" w:rsidRDefault="00A2721E" w:rsidP="00A2721E">
      <w:pPr>
        <w:pStyle w:val="NoSpacing"/>
        <w:rPr>
          <w:rFonts w:ascii="Georgia" w:hAnsi="Georgia"/>
          <w:b/>
        </w:rPr>
      </w:pPr>
      <w:r w:rsidRPr="00A2721E">
        <w:rPr>
          <w:rFonts w:ascii="Georgia" w:hAnsi="Georgia"/>
          <w:b/>
        </w:rPr>
        <w:t>KIN 285: Physical Activity Epidemiology</w:t>
      </w:r>
    </w:p>
    <w:p w:rsidR="00A2721E" w:rsidRDefault="00A2721E" w:rsidP="00A2721E">
      <w:pPr>
        <w:pStyle w:val="NoSpacing"/>
        <w:rPr>
          <w:i/>
          <w:iCs/>
        </w:rPr>
      </w:pPr>
      <w:r w:rsidRPr="00A2721E">
        <w:t xml:space="preserve"> (1 Unit)</w:t>
      </w:r>
      <w:r w:rsidRPr="00A2721E">
        <w:br/>
        <w:t>Physical Activity Epidemiology will focus on how leisure-time physical activity can be promoted to increase both longevity and quality of life. Students will be introduced to basic epidemiological concepts, the relatively new area of physical activity epidemiology, and the relevant literature that allows public health policy to be created based on the strength of the evidence. This course will examine the impact of physical activity on disease mortality and disease risk factors. By examining both classic and contemporary studies, students will be able to discern how the literature has changed over time and how current public health recommendations are better suited to the population as a whole.</w:t>
      </w:r>
      <w:r>
        <w:t xml:space="preserve"> </w:t>
      </w:r>
      <w:r w:rsidRPr="00A2721E">
        <w:rPr>
          <w:i/>
          <w:iCs/>
        </w:rPr>
        <w:t>(Betz)</w:t>
      </w:r>
    </w:p>
    <w:p w:rsidR="00A2721E" w:rsidRPr="00A2721E" w:rsidRDefault="00A2721E" w:rsidP="00A2721E">
      <w:pPr>
        <w:pStyle w:val="NoSpacing"/>
        <w:rPr>
          <w:i/>
          <w:iCs/>
          <w:sz w:val="28"/>
          <w:szCs w:val="28"/>
        </w:rPr>
      </w:pPr>
    </w:p>
    <w:p w:rsidR="00A2721E" w:rsidRPr="00A2721E" w:rsidRDefault="00A2721E" w:rsidP="00A2721E">
      <w:pPr>
        <w:pStyle w:val="NoSpacing"/>
        <w:rPr>
          <w:rFonts w:ascii="Georgia" w:hAnsi="Georgia"/>
          <w:b/>
        </w:rPr>
      </w:pPr>
      <w:r w:rsidRPr="00A2721E">
        <w:rPr>
          <w:rFonts w:ascii="Georgia" w:hAnsi="Georgia"/>
          <w:b/>
        </w:rPr>
        <w:t xml:space="preserve">MATH 125: </w:t>
      </w:r>
      <w:proofErr w:type="spellStart"/>
      <w:r w:rsidRPr="00A2721E">
        <w:rPr>
          <w:rFonts w:ascii="Georgia" w:hAnsi="Georgia"/>
          <w:b/>
        </w:rPr>
        <w:t>Precalculus</w:t>
      </w:r>
      <w:proofErr w:type="spellEnd"/>
    </w:p>
    <w:p w:rsidR="00A2721E" w:rsidRDefault="00A2721E" w:rsidP="00A2721E">
      <w:pPr>
        <w:pStyle w:val="NoSpacing"/>
        <w:rPr>
          <w:i/>
          <w:iCs/>
        </w:rPr>
      </w:pPr>
      <w:r w:rsidRPr="00A2721E">
        <w:t xml:space="preserve"> (1 Unit)</w:t>
      </w:r>
      <w:r w:rsidRPr="00A2721E">
        <w:br/>
        <w:t>Prerequisite: Permission of department. </w:t>
      </w:r>
      <w:r w:rsidRPr="00A2721E">
        <w:br/>
        <w:t>A modern, unified approach to algebra, trigonometry, logarithms and analytical geometry based on the concept of a function. Linear equations and inequalities, quadratic equations and inequalities, polynomials and rational functions, logarithms and exponential functions, trigonometric and inverse trigonometric functions, and analytic geometry (the circle, the parabola, the ellipse and the hyperbola) are normally covered. Emphasizes the use of graphing calculators and the use of mathematics as a problem-solving tool. Covers applications in natural science, social science and business. Serves as a preparation for calculus. Well-prepared students who already have a strong working knowledge of algebra, trigonometry and logarithms should elect </w:t>
      </w:r>
      <w:hyperlink r:id="rId7" w:anchor="tt4945" w:tgtFrame="_blank" w:history="1">
        <w:r w:rsidRPr="00A2721E">
          <w:rPr>
            <w:rStyle w:val="Hyperlink"/>
          </w:rPr>
          <w:t>MATH 141</w:t>
        </w:r>
      </w:hyperlink>
      <w:r w:rsidRPr="00A2721E">
        <w:t> in place of Mathematics 125. A graphing calculator is required. </w:t>
      </w:r>
      <w:r w:rsidRPr="00A2721E">
        <w:rPr>
          <w:i/>
          <w:iCs/>
        </w:rPr>
        <w:t>Staff.</w:t>
      </w:r>
    </w:p>
    <w:p w:rsidR="00A2721E" w:rsidRPr="00A2721E" w:rsidRDefault="00A2721E" w:rsidP="00A2721E">
      <w:pPr>
        <w:pStyle w:val="NoSpacing"/>
        <w:rPr>
          <w:sz w:val="28"/>
          <w:szCs w:val="28"/>
        </w:rPr>
      </w:pPr>
    </w:p>
    <w:p w:rsidR="00A2721E" w:rsidRPr="00A2721E" w:rsidRDefault="00A2721E" w:rsidP="00A2721E">
      <w:pPr>
        <w:pStyle w:val="NoSpacing"/>
        <w:rPr>
          <w:rFonts w:ascii="Georgia" w:hAnsi="Georgia"/>
          <w:b/>
        </w:rPr>
      </w:pPr>
      <w:r w:rsidRPr="00A2721E">
        <w:rPr>
          <w:rFonts w:ascii="Georgia" w:hAnsi="Georgia"/>
          <w:b/>
        </w:rPr>
        <w:t>MATH 141: Calculus of a Single Variable I</w:t>
      </w:r>
    </w:p>
    <w:p w:rsidR="00A2721E" w:rsidRDefault="00A2721E" w:rsidP="00A2721E">
      <w:pPr>
        <w:pStyle w:val="NoSpacing"/>
        <w:rPr>
          <w:i/>
          <w:iCs/>
        </w:rPr>
      </w:pPr>
      <w:r w:rsidRPr="00A2721E">
        <w:t xml:space="preserve"> (1 Unit)</w:t>
      </w:r>
      <w:r w:rsidRPr="00A2721E">
        <w:br/>
        <w:t>Prerequisite: </w:t>
      </w:r>
      <w:hyperlink r:id="rId8" w:anchor="tt4724" w:tgtFrame="_blank" w:history="1">
        <w:r w:rsidRPr="00A2721E">
          <w:rPr>
            <w:rStyle w:val="Hyperlink"/>
          </w:rPr>
          <w:t>MATH 125</w:t>
        </w:r>
      </w:hyperlink>
      <w:r w:rsidRPr="00A2721E">
        <w:t> or permission of department. </w:t>
      </w:r>
      <w:r w:rsidRPr="00A2721E">
        <w:br/>
        <w:t>Mathematics 141 and </w:t>
      </w:r>
      <w:hyperlink r:id="rId9" w:anchor="tt1556" w:tgtFrame="_blank" w:history="1">
        <w:r w:rsidRPr="00A2721E">
          <w:rPr>
            <w:rStyle w:val="Hyperlink"/>
          </w:rPr>
          <w:t>MATH 143</w:t>
        </w:r>
      </w:hyperlink>
      <w:r w:rsidRPr="00A2721E">
        <w:t> constitute a thorough introduction to calculus for students who intend to continue in mathematics and for those who will use calculus in other fields such as science and engineering. Second half of the standard one-year calculus sequence (see Mathematics 141 above). Mathematics 141 covers limits, continuity, derivatives and a brief introduction to integration, as well as applications to problems in related rates, optimization, solid geometry and elementary mechanics. Requires a strong working knowledge of algebra and trigonometry. Students who are weak in these areas should elect </w:t>
      </w:r>
      <w:hyperlink r:id="rId10" w:anchor="tt3111" w:tgtFrame="_blank" w:history="1">
        <w:r w:rsidRPr="00A2721E">
          <w:rPr>
            <w:rStyle w:val="Hyperlink"/>
          </w:rPr>
          <w:t>MATH 125</w:t>
        </w:r>
      </w:hyperlink>
      <w:r w:rsidRPr="00A2721E">
        <w:t>. A graphing calculator is required. </w:t>
      </w:r>
      <w:r w:rsidRPr="00A2721E">
        <w:rPr>
          <w:i/>
          <w:iCs/>
        </w:rPr>
        <w:t>Staff.</w:t>
      </w:r>
    </w:p>
    <w:p w:rsidR="00A2721E" w:rsidRDefault="00A2721E" w:rsidP="00A2721E">
      <w:pPr>
        <w:pStyle w:val="NoSpacing"/>
        <w:rPr>
          <w:i/>
          <w:iCs/>
        </w:rPr>
      </w:pPr>
    </w:p>
    <w:p w:rsidR="00A2721E" w:rsidRDefault="00A2721E" w:rsidP="00A2721E">
      <w:pPr>
        <w:pStyle w:val="NoSpacing"/>
        <w:rPr>
          <w:i/>
          <w:iCs/>
        </w:rPr>
      </w:pPr>
    </w:p>
    <w:p w:rsidR="00A2721E" w:rsidRPr="00A2721E" w:rsidRDefault="00A2721E" w:rsidP="00A2721E">
      <w:pPr>
        <w:pStyle w:val="NoSpacing"/>
        <w:rPr>
          <w:rFonts w:ascii="Georgia" w:hAnsi="Georgia"/>
          <w:b/>
        </w:rPr>
      </w:pPr>
      <w:r w:rsidRPr="00A2721E">
        <w:rPr>
          <w:rFonts w:ascii="Georgia" w:hAnsi="Georgia"/>
          <w:b/>
        </w:rPr>
        <w:lastRenderedPageBreak/>
        <w:t>MATH 209: An Introduction to Statistics</w:t>
      </w:r>
    </w:p>
    <w:p w:rsidR="007B22AD" w:rsidRDefault="00A2721E" w:rsidP="00A2721E">
      <w:pPr>
        <w:pStyle w:val="NoSpacing"/>
      </w:pPr>
      <w:r w:rsidRPr="00A2721E">
        <w:t xml:space="preserve"> (1 Unit)</w:t>
      </w:r>
      <w:r w:rsidRPr="00A2721E">
        <w:br/>
        <w:t>Prerequisite: Permission of instructor. </w:t>
      </w:r>
      <w:r w:rsidRPr="00A2721E">
        <w:br/>
        <w:t>Statistics is the art/science of collecting and interpreting data. Topics include probability, probability distributions which include the binomial and normal distributions, the central limit theorem, sampling distributions, confidence interval estimation, and hypothesis testing. Students will then advance to linear regressions, goodness-of-fit tests, and analysis of variance. Emphasis is placed on multiple applications in the life and social sciences. </w:t>
      </w:r>
      <w:r w:rsidRPr="00A2721E">
        <w:rPr>
          <w:i/>
          <w:iCs/>
        </w:rPr>
        <w:t>Anderson, Bollman.</w:t>
      </w:r>
    </w:p>
    <w:sectPr w:rsidR="007B22AD" w:rsidSect="00A272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1E"/>
    <w:rsid w:val="007B22AD"/>
    <w:rsid w:val="00A2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22A30-9F8E-41C1-8B4F-2C1AE171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21E"/>
    <w:rPr>
      <w:color w:val="0563C1" w:themeColor="hyperlink"/>
      <w:u w:val="single"/>
    </w:rPr>
  </w:style>
  <w:style w:type="paragraph" w:styleId="NoSpacing">
    <w:name w:val="No Spacing"/>
    <w:uiPriority w:val="1"/>
    <w:qFormat/>
    <w:rsid w:val="00A27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albion.edu/content.php?filter%5B27%5D=MATH&amp;filter%5B29%5D=&amp;filter%5Bcourse_type%5D=-1&amp;filter%5Bkeyword%5D=&amp;filter%5B32%5D=1&amp;filter%5Bcpage%5D=1&amp;cur_cat_oid=1&amp;expand=&amp;navoid=12&amp;search_database=Filter" TargetMode="External"/><Relationship Id="rId3" Type="http://schemas.openxmlformats.org/officeDocument/2006/relationships/webSettings" Target="webSettings.xml"/><Relationship Id="rId7" Type="http://schemas.openxmlformats.org/officeDocument/2006/relationships/hyperlink" Target="http://catalog.albion.edu/content.php?filter%5B27%5D=MATH&amp;filter%5B29%5D=&amp;filter%5Bcourse_type%5D=-1&amp;filter%5Bkeyword%5D=&amp;filter%5B32%5D=1&amp;filter%5Bcpage%5D=1&amp;cur_cat_oid=1&amp;expand=&amp;navoid=12&amp;search_database=Filt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alog.albion.edu/content.php?filter%5B27%5D=GEOL&amp;filter%5B29%5D=&amp;filter%5Bcourse_type%5D=-1&amp;filter%5Bkeyword%5D=&amp;filter%5B32%5D=1&amp;filter%5Bcpage%5D=1&amp;cur_cat_oid=1&amp;expand=&amp;navoid=12&amp;search_database=Filter" TargetMode="External"/><Relationship Id="rId11" Type="http://schemas.openxmlformats.org/officeDocument/2006/relationships/fontTable" Target="fontTable.xml"/><Relationship Id="rId5" Type="http://schemas.openxmlformats.org/officeDocument/2006/relationships/hyperlink" Target="http://catalog.albion.edu/content.php?filter%5B27%5D=GEOL&amp;filter%5B29%5D=&amp;filter%5Bcourse_type%5D=-1&amp;filter%5Bkeyword%5D=&amp;filter%5B32%5D=1&amp;filter%5Bcpage%5D=1&amp;cur_cat_oid=1&amp;expand=&amp;navoid=12&amp;search_database=Filter" TargetMode="External"/><Relationship Id="rId10" Type="http://schemas.openxmlformats.org/officeDocument/2006/relationships/hyperlink" Target="http://catalog.albion.edu/content.php?filter%5B27%5D=MATH&amp;filter%5B29%5D=&amp;filter%5Bcourse_type%5D=-1&amp;filter%5Bkeyword%5D=&amp;filter%5B32%5D=1&amp;filter%5Bcpage%5D=1&amp;cur_cat_oid=1&amp;expand=&amp;navoid=12&amp;search_database=Filter" TargetMode="External"/><Relationship Id="rId4" Type="http://schemas.openxmlformats.org/officeDocument/2006/relationships/hyperlink" Target="http://catalog.albion.edu/content.php?filter%5B27%5D=GEOL&amp;filter%5B29%5D=&amp;filter%5Bcourse_type%5D=-1&amp;filter%5Bkeyword%5D=&amp;filter%5B32%5D=1&amp;filter%5Bcpage%5D=1&amp;cur_cat_oid=1&amp;expand=&amp;navoid=12&amp;search_database=Filter" TargetMode="External"/><Relationship Id="rId9" Type="http://schemas.openxmlformats.org/officeDocument/2006/relationships/hyperlink" Target="http://catalog.albion.edu/content.php?filter%5B27%5D=MATH&amp;filter%5B29%5D=&amp;filter%5Bcourse_type%5D=-1&amp;filter%5Bkeyword%5D=&amp;filter%5B32%5D=1&amp;filter%5Bcpage%5D=1&amp;cur_cat_oid=1&amp;expand=&amp;navoid=12&amp;search_database=Fi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J Van Eck</dc:creator>
  <cp:keywords/>
  <dc:description/>
  <cp:lastModifiedBy>Bobbie J Van Eck</cp:lastModifiedBy>
  <cp:revision>1</cp:revision>
  <dcterms:created xsi:type="dcterms:W3CDTF">2017-04-04T18:12:00Z</dcterms:created>
  <dcterms:modified xsi:type="dcterms:W3CDTF">2017-04-04T18:22:00Z</dcterms:modified>
</cp:coreProperties>
</file>