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80" w:rsidRPr="00D565BC" w:rsidRDefault="00360E80" w:rsidP="00360E80">
      <w:pPr>
        <w:spacing w:after="0" w:line="240" w:lineRule="auto"/>
        <w:rPr>
          <w:rFonts w:eastAsia="Times New Roman" w:cstheme="minorHAnsi"/>
          <w:b/>
          <w:bCs/>
          <w:color w:val="000000"/>
        </w:rPr>
      </w:pPr>
      <w:r w:rsidRPr="00D565BC">
        <w:rPr>
          <w:rFonts w:eastAsia="Times New Roman" w:cstheme="minorHAnsi"/>
          <w:b/>
          <w:bCs/>
          <w:color w:val="000000"/>
        </w:rPr>
        <w:t>Section 5: Update for 2011-2012 Academic Year</w:t>
      </w:r>
    </w:p>
    <w:p w:rsidR="00360E80" w:rsidRPr="00D565BC" w:rsidRDefault="00360E80" w:rsidP="00360E80">
      <w:pPr>
        <w:spacing w:after="0" w:line="240" w:lineRule="auto"/>
        <w:rPr>
          <w:rFonts w:eastAsia="Times New Roman" w:cstheme="minorHAnsi"/>
          <w:b/>
          <w:bCs/>
          <w:color w:val="000000"/>
        </w:rPr>
      </w:pPr>
    </w:p>
    <w:p w:rsidR="00360E80" w:rsidRPr="00D565BC" w:rsidRDefault="00360E80" w:rsidP="00360E80">
      <w:pPr>
        <w:spacing w:after="0" w:line="240" w:lineRule="auto"/>
        <w:rPr>
          <w:rFonts w:eastAsia="Times New Roman" w:cstheme="minorHAnsi"/>
          <w:bCs/>
          <w:color w:val="000000"/>
        </w:rPr>
      </w:pPr>
      <w:r w:rsidRPr="00D565BC">
        <w:rPr>
          <w:rFonts w:eastAsia="Times New Roman" w:cstheme="minorHAnsi"/>
          <w:bCs/>
          <w:color w:val="000000"/>
        </w:rPr>
        <w:t>A significant component of the Albion Advantage centers on connecting students to a</w:t>
      </w:r>
      <w:r w:rsidR="008C0F9D" w:rsidRPr="00D565BC">
        <w:rPr>
          <w:rFonts w:eastAsia="Times New Roman" w:cstheme="minorHAnsi"/>
          <w:bCs/>
          <w:color w:val="000000"/>
        </w:rPr>
        <w:t>lumni and other leaders with common academic and career interests.  During the fall semester of 2011, sophomores in both the Ford Institute and the Institute for Premedical Professions and Health Sciences (IPPHS) will be matched with mentors external to the College.  Although this mentoring program has been piloted with sophomores and juniors over the previous year, the assessment from the student perspective has not yet been fully developed.  Ford and IPPHS students entering the mentor program will complete two assessments, one at the initiation of the relationship, and the second at the end of the semester.  The assessment items are derived from those used by Susan Hurst at Philadelphia University as part of her master’s degree thesis, examining mentoring/</w:t>
      </w:r>
      <w:proofErr w:type="spellStart"/>
      <w:r w:rsidR="008C0F9D" w:rsidRPr="00D565BC">
        <w:rPr>
          <w:rFonts w:eastAsia="Times New Roman" w:cstheme="minorHAnsi"/>
          <w:bCs/>
          <w:color w:val="000000"/>
        </w:rPr>
        <w:t>preceptoring</w:t>
      </w:r>
      <w:proofErr w:type="spellEnd"/>
      <w:r w:rsidR="008C0F9D" w:rsidRPr="00D565BC">
        <w:rPr>
          <w:rFonts w:eastAsia="Times New Roman" w:cstheme="minorHAnsi"/>
          <w:bCs/>
          <w:color w:val="000000"/>
        </w:rPr>
        <w:t xml:space="preserve"> outcomes of nurse midwife students.  Her work drew together two mentoring assessments</w:t>
      </w:r>
      <w:r w:rsidR="00D565BC" w:rsidRPr="00D565BC">
        <w:rPr>
          <w:rFonts w:eastAsia="Times New Roman" w:cstheme="minorHAnsi"/>
          <w:bCs/>
          <w:color w:val="000000"/>
        </w:rPr>
        <w:t xml:space="preserve"> (</w:t>
      </w:r>
      <w:r w:rsidR="00D565BC" w:rsidRPr="00360E80">
        <w:rPr>
          <w:rFonts w:eastAsia="Times New Roman" w:cstheme="minorHAnsi"/>
          <w:color w:val="000000"/>
        </w:rPr>
        <w:t xml:space="preserve">Freeman Mentoring Survey (FMS), </w:t>
      </w:r>
      <w:proofErr w:type="spellStart"/>
      <w:r w:rsidR="00D565BC" w:rsidRPr="00360E80">
        <w:rPr>
          <w:rFonts w:eastAsia="Times New Roman" w:cstheme="minorHAnsi"/>
          <w:color w:val="000000"/>
        </w:rPr>
        <w:t>Caine’s</w:t>
      </w:r>
      <w:proofErr w:type="spellEnd"/>
      <w:r w:rsidR="00D565BC" w:rsidRPr="00360E80">
        <w:rPr>
          <w:rFonts w:eastAsia="Times New Roman" w:cstheme="minorHAnsi"/>
          <w:color w:val="000000"/>
        </w:rPr>
        <w:t xml:space="preserve"> Quality of Mentoring Tool (CQM)</w:t>
      </w:r>
      <w:r w:rsidR="00D565BC" w:rsidRPr="00D565BC">
        <w:rPr>
          <w:rFonts w:eastAsia="Times New Roman" w:cstheme="minorHAnsi"/>
          <w:color w:val="000000"/>
        </w:rPr>
        <w:t>)</w:t>
      </w:r>
      <w:proofErr w:type="gramStart"/>
      <w:r w:rsidR="00D565BC" w:rsidRPr="00360E80">
        <w:rPr>
          <w:rFonts w:eastAsia="Times New Roman" w:cstheme="minorHAnsi"/>
          <w:color w:val="000000"/>
        </w:rPr>
        <w:t xml:space="preserve">, </w:t>
      </w:r>
      <w:r w:rsidR="008C0F9D" w:rsidRPr="00D565BC">
        <w:rPr>
          <w:rFonts w:eastAsia="Times New Roman" w:cstheme="minorHAnsi"/>
          <w:bCs/>
          <w:color w:val="000000"/>
        </w:rPr>
        <w:t xml:space="preserve"> in</w:t>
      </w:r>
      <w:proofErr w:type="gramEnd"/>
      <w:r w:rsidR="008C0F9D" w:rsidRPr="00D565BC">
        <w:rPr>
          <w:rFonts w:eastAsia="Times New Roman" w:cstheme="minorHAnsi"/>
          <w:bCs/>
          <w:color w:val="000000"/>
        </w:rPr>
        <w:t xml:space="preserve"> conjunction with two examining self-efficacy and confidence</w:t>
      </w:r>
      <w:r w:rsidR="00D565BC" w:rsidRPr="00D565BC">
        <w:rPr>
          <w:rFonts w:eastAsia="Times New Roman" w:cstheme="minorHAnsi"/>
          <w:bCs/>
          <w:color w:val="000000"/>
        </w:rPr>
        <w:t xml:space="preserve"> (</w:t>
      </w:r>
      <w:r w:rsidR="00D565BC" w:rsidRPr="00360E80">
        <w:rPr>
          <w:rFonts w:eastAsia="Times New Roman" w:cstheme="minorHAnsi"/>
          <w:color w:val="000000"/>
        </w:rPr>
        <w:t>Hardin’s Self-Efficacy Scale (SES), and Grundy’s Confidence Scale (CS)</w:t>
      </w:r>
      <w:r w:rsidR="00D565BC" w:rsidRPr="00D565BC">
        <w:rPr>
          <w:rFonts w:eastAsia="Times New Roman" w:cstheme="minorHAnsi"/>
          <w:color w:val="000000"/>
        </w:rPr>
        <w:t>)</w:t>
      </w:r>
      <w:r w:rsidR="008C0F9D" w:rsidRPr="00D565BC">
        <w:rPr>
          <w:rFonts w:eastAsia="Times New Roman" w:cstheme="minorHAnsi"/>
          <w:bCs/>
          <w:color w:val="000000"/>
        </w:rPr>
        <w:t>.  The resulting survey, with wording changes to fit the Ford and IPPHS environment</w:t>
      </w:r>
      <w:r w:rsidR="00D565BC" w:rsidRPr="00D565BC">
        <w:rPr>
          <w:rFonts w:eastAsia="Times New Roman" w:cstheme="minorHAnsi"/>
          <w:bCs/>
          <w:color w:val="000000"/>
        </w:rPr>
        <w:t xml:space="preserve"> are included along with this update document.  At baseline, students will complete Section 4 (items 49-60) which assess self efficacy.  At the completion of the semester, students will complete the entire survey.  During the summer of 2011, the assessment will be reviewed by the Internal Advisory Committee members for input.  A companion assessment for the mentors will also be constructed.</w:t>
      </w:r>
    </w:p>
    <w:p w:rsidR="00D565BC" w:rsidRPr="00D565BC" w:rsidRDefault="00D565BC" w:rsidP="00360E80">
      <w:pPr>
        <w:spacing w:after="0" w:line="240" w:lineRule="auto"/>
        <w:rPr>
          <w:rFonts w:eastAsia="Times New Roman" w:cstheme="minorHAnsi"/>
          <w:bCs/>
          <w:color w:val="000000"/>
        </w:rPr>
      </w:pPr>
    </w:p>
    <w:p w:rsidR="00D565BC" w:rsidRPr="00D565BC" w:rsidRDefault="00D565BC" w:rsidP="00360E80">
      <w:pPr>
        <w:spacing w:after="0" w:line="240" w:lineRule="auto"/>
        <w:rPr>
          <w:rFonts w:eastAsia="Times New Roman" w:cstheme="minorHAnsi"/>
          <w:b/>
          <w:bCs/>
          <w:color w:val="000000"/>
        </w:rPr>
      </w:pPr>
      <w:r w:rsidRPr="00D565BC">
        <w:rPr>
          <w:rFonts w:eastAsia="Times New Roman" w:cstheme="minorHAnsi"/>
          <w:b/>
          <w:bCs/>
          <w:color w:val="000000"/>
        </w:rPr>
        <w:t>Section 6:  How will data be used?</w:t>
      </w:r>
    </w:p>
    <w:p w:rsidR="00D565BC" w:rsidRPr="00D565BC" w:rsidRDefault="00D565BC" w:rsidP="00360E80">
      <w:pPr>
        <w:spacing w:after="0" w:line="240" w:lineRule="auto"/>
        <w:rPr>
          <w:rFonts w:eastAsia="Times New Roman" w:cstheme="minorHAnsi"/>
          <w:b/>
          <w:bCs/>
          <w:color w:val="000000"/>
        </w:rPr>
      </w:pPr>
    </w:p>
    <w:p w:rsidR="00D565BC" w:rsidRDefault="00D565BC" w:rsidP="00360E80">
      <w:pPr>
        <w:spacing w:after="0" w:line="240" w:lineRule="auto"/>
        <w:rPr>
          <w:rFonts w:eastAsia="Times New Roman" w:cstheme="minorHAnsi"/>
          <w:bCs/>
          <w:color w:val="000000"/>
        </w:rPr>
      </w:pPr>
      <w:r w:rsidRPr="00D565BC">
        <w:rPr>
          <w:rFonts w:eastAsia="Times New Roman" w:cstheme="minorHAnsi"/>
          <w:bCs/>
          <w:color w:val="000000"/>
        </w:rPr>
        <w:t>The assessment data will b</w:t>
      </w:r>
      <w:r>
        <w:rPr>
          <w:rFonts w:eastAsia="Times New Roman" w:cstheme="minorHAnsi"/>
          <w:bCs/>
          <w:color w:val="000000"/>
        </w:rPr>
        <w:t>e analyzed to determine the following outcomes:</w:t>
      </w:r>
    </w:p>
    <w:p w:rsidR="00D565BC" w:rsidRDefault="00D565BC" w:rsidP="00360E80">
      <w:pPr>
        <w:spacing w:after="0" w:line="240" w:lineRule="auto"/>
        <w:rPr>
          <w:rFonts w:eastAsia="Times New Roman" w:cstheme="minorHAnsi"/>
          <w:bCs/>
          <w:color w:val="000000"/>
        </w:rPr>
      </w:pPr>
      <w:r>
        <w:rPr>
          <w:rFonts w:eastAsia="Times New Roman" w:cstheme="minorHAnsi"/>
          <w:bCs/>
          <w:color w:val="000000"/>
        </w:rPr>
        <w:t>• What is the change in student self-efficacy and confidence associated with the mentoring period?</w:t>
      </w:r>
    </w:p>
    <w:p w:rsidR="00D565BC" w:rsidRDefault="00D565BC" w:rsidP="00360E80">
      <w:pPr>
        <w:spacing w:after="0" w:line="240" w:lineRule="auto"/>
        <w:rPr>
          <w:rFonts w:eastAsia="Times New Roman" w:cstheme="minorHAnsi"/>
          <w:bCs/>
          <w:color w:val="000000"/>
        </w:rPr>
      </w:pPr>
      <w:r>
        <w:rPr>
          <w:rFonts w:eastAsia="Times New Roman" w:cstheme="minorHAnsi"/>
          <w:bCs/>
          <w:color w:val="000000"/>
        </w:rPr>
        <w:t>• Where are the strengths and potential weaknesses in the mentoring process?</w:t>
      </w:r>
    </w:p>
    <w:p w:rsidR="00D565BC" w:rsidRDefault="00D565BC" w:rsidP="00360E80">
      <w:pPr>
        <w:spacing w:after="0" w:line="240" w:lineRule="auto"/>
        <w:rPr>
          <w:rFonts w:eastAsia="Times New Roman" w:cstheme="minorHAnsi"/>
          <w:bCs/>
          <w:color w:val="000000"/>
        </w:rPr>
      </w:pPr>
      <w:r>
        <w:rPr>
          <w:rFonts w:eastAsia="Times New Roman" w:cstheme="minorHAnsi"/>
          <w:bCs/>
          <w:color w:val="000000"/>
        </w:rPr>
        <w:t>• Can a strategy be defined for identifying strong mentors based on this data?</w:t>
      </w:r>
    </w:p>
    <w:p w:rsidR="00D565BC" w:rsidRPr="00D565BC" w:rsidRDefault="00D565BC" w:rsidP="00360E80">
      <w:pPr>
        <w:spacing w:after="0" w:line="240" w:lineRule="auto"/>
        <w:rPr>
          <w:rFonts w:eastAsia="Times New Roman" w:cstheme="minorHAnsi"/>
          <w:bCs/>
          <w:color w:val="000000"/>
        </w:rPr>
      </w:pPr>
      <w:r>
        <w:rPr>
          <w:rFonts w:eastAsia="Times New Roman" w:cstheme="minorHAnsi"/>
          <w:bCs/>
          <w:color w:val="000000"/>
        </w:rPr>
        <w:t>• Over time, what is the relationship of the mentoring assessment to academic and post-Albion success?</w:t>
      </w:r>
    </w:p>
    <w:p w:rsidR="00D565BC" w:rsidRPr="00D565BC" w:rsidRDefault="00D565BC" w:rsidP="00360E80">
      <w:pPr>
        <w:spacing w:after="0" w:line="240" w:lineRule="auto"/>
        <w:rPr>
          <w:rFonts w:eastAsia="Times New Roman" w:cstheme="minorHAnsi"/>
          <w:bCs/>
          <w:color w:val="000000"/>
        </w:rPr>
      </w:pPr>
    </w:p>
    <w:p w:rsidR="00D565BC" w:rsidRPr="00D565BC" w:rsidRDefault="00D565BC" w:rsidP="00360E80">
      <w:pPr>
        <w:spacing w:after="0" w:line="240" w:lineRule="auto"/>
        <w:rPr>
          <w:rFonts w:eastAsia="Times New Roman" w:cstheme="minorHAnsi"/>
          <w:bCs/>
          <w:color w:val="000000"/>
        </w:rPr>
      </w:pPr>
    </w:p>
    <w:p w:rsidR="00360E80" w:rsidRPr="00D565BC" w:rsidRDefault="00360E80" w:rsidP="00360E80">
      <w:pPr>
        <w:spacing w:after="0" w:line="240" w:lineRule="auto"/>
        <w:jc w:val="center"/>
        <w:rPr>
          <w:rFonts w:eastAsia="Times New Roman" w:cstheme="minorHAnsi"/>
          <w:b/>
          <w:bCs/>
          <w:color w:val="000000"/>
        </w:rPr>
      </w:pPr>
    </w:p>
    <w:sectPr w:rsidR="00360E80" w:rsidRPr="00D565BC" w:rsidSect="00D660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0E80"/>
    <w:rsid w:val="00360E80"/>
    <w:rsid w:val="007273E3"/>
    <w:rsid w:val="008C0F9D"/>
    <w:rsid w:val="00D565BC"/>
    <w:rsid w:val="00D66024"/>
    <w:rsid w:val="00FE0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0E80"/>
  </w:style>
  <w:style w:type="character" w:customStyle="1" w:styleId="apple-style-span">
    <w:name w:val="apple-style-span"/>
    <w:basedOn w:val="DefaultParagraphFont"/>
    <w:rsid w:val="00360E80"/>
  </w:style>
</w:styles>
</file>

<file path=word/webSettings.xml><?xml version="1.0" encoding="utf-8"?>
<w:webSettings xmlns:r="http://schemas.openxmlformats.org/officeDocument/2006/relationships" xmlns:w="http://schemas.openxmlformats.org/wordprocessingml/2006/main">
  <w:divs>
    <w:div w:id="955520329">
      <w:bodyDiv w:val="1"/>
      <w:marLeft w:val="0"/>
      <w:marRight w:val="0"/>
      <w:marTop w:val="0"/>
      <w:marBottom w:val="0"/>
      <w:divBdr>
        <w:top w:val="none" w:sz="0" w:space="0" w:color="auto"/>
        <w:left w:val="none" w:sz="0" w:space="0" w:color="auto"/>
        <w:bottom w:val="none" w:sz="0" w:space="0" w:color="auto"/>
        <w:right w:val="none" w:sz="0" w:space="0" w:color="auto"/>
      </w:divBdr>
    </w:div>
    <w:div w:id="20053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Pheley</dc:creator>
  <cp:lastModifiedBy>Albion</cp:lastModifiedBy>
  <cp:revision>2</cp:revision>
  <dcterms:created xsi:type="dcterms:W3CDTF">2011-06-29T21:13:00Z</dcterms:created>
  <dcterms:modified xsi:type="dcterms:W3CDTF">2011-06-29T21:13:00Z</dcterms:modified>
</cp:coreProperties>
</file>