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849" w:rsidRDefault="00D84849" w:rsidP="00D84849">
      <w:pPr>
        <w:spacing w:before="100" w:beforeAutospacing="1" w:after="100" w:afterAutospacing="1" w:line="240" w:lineRule="auto"/>
        <w:jc w:val="center"/>
        <w:outlineLvl w:val="2"/>
        <w:rPr>
          <w:rFonts w:ascii="Times New Roman" w:eastAsia="Times New Roman" w:hAnsi="Times New Roman" w:cs="Times New Roman"/>
          <w:b/>
          <w:bCs/>
          <w:szCs w:val="24"/>
        </w:rPr>
      </w:pPr>
      <w:r>
        <w:rPr>
          <w:rFonts w:ascii="Times New Roman" w:eastAsia="Times New Roman" w:hAnsi="Times New Roman" w:cs="Times New Roman"/>
          <w:b/>
          <w:bCs/>
          <w:szCs w:val="24"/>
        </w:rPr>
        <w:t>2009 Modern Languages Report</w:t>
      </w:r>
    </w:p>
    <w:p w:rsidR="00D84849" w:rsidRPr="00D84849" w:rsidRDefault="00D84849" w:rsidP="00D84849">
      <w:pPr>
        <w:spacing w:before="100" w:beforeAutospacing="1" w:after="100" w:afterAutospacing="1" w:line="240" w:lineRule="auto"/>
        <w:outlineLvl w:val="2"/>
        <w:rPr>
          <w:rFonts w:ascii="Times New Roman" w:eastAsia="Times New Roman" w:hAnsi="Times New Roman" w:cs="Times New Roman"/>
          <w:b/>
          <w:bCs/>
          <w:szCs w:val="24"/>
        </w:rPr>
      </w:pPr>
      <w:r>
        <w:rPr>
          <w:rFonts w:ascii="Times New Roman" w:eastAsia="Times New Roman" w:hAnsi="Times New Roman" w:cs="Times New Roman"/>
          <w:b/>
          <w:bCs/>
          <w:szCs w:val="24"/>
        </w:rPr>
        <w:t>S</w:t>
      </w:r>
      <w:r w:rsidRPr="00D84849">
        <w:rPr>
          <w:rFonts w:ascii="Times New Roman" w:eastAsia="Times New Roman" w:hAnsi="Times New Roman" w:cs="Times New Roman"/>
          <w:b/>
          <w:bCs/>
          <w:szCs w:val="24"/>
        </w:rPr>
        <w:t>tep</w:t>
      </w:r>
      <w:r>
        <w:rPr>
          <w:rFonts w:ascii="Times New Roman" w:eastAsia="Times New Roman" w:hAnsi="Times New Roman" w:cs="Times New Roman"/>
          <w:b/>
          <w:bCs/>
          <w:szCs w:val="24"/>
        </w:rPr>
        <w:t xml:space="preserve"> </w:t>
      </w:r>
      <w:proofErr w:type="gramStart"/>
      <w:r w:rsidRPr="00D84849">
        <w:rPr>
          <w:rFonts w:ascii="Times New Roman" w:eastAsia="Times New Roman" w:hAnsi="Times New Roman" w:cs="Times New Roman"/>
          <w:b/>
          <w:bCs/>
          <w:szCs w:val="24"/>
        </w:rPr>
        <w:t>1</w:t>
      </w:r>
      <w:r>
        <w:rPr>
          <w:rFonts w:ascii="Times New Roman" w:eastAsia="Times New Roman" w:hAnsi="Times New Roman" w:cs="Times New Roman"/>
          <w:b/>
          <w:bCs/>
          <w:szCs w:val="24"/>
        </w:rPr>
        <w:t xml:space="preserve"> </w:t>
      </w:r>
      <w:r w:rsidRPr="00D84849">
        <w:rPr>
          <w:rFonts w:ascii="Times New Roman" w:eastAsia="Times New Roman" w:hAnsi="Times New Roman" w:cs="Times New Roman"/>
          <w:b/>
          <w:bCs/>
          <w:szCs w:val="24"/>
        </w:rPr>
        <w:t>:</w:t>
      </w:r>
      <w:proofErr w:type="gramEnd"/>
      <w:r w:rsidRPr="00D84849">
        <w:rPr>
          <w:rFonts w:ascii="Times New Roman" w:eastAsia="Times New Roman" w:hAnsi="Times New Roman" w:cs="Times New Roman"/>
          <w:b/>
          <w:bCs/>
          <w:szCs w:val="24"/>
        </w:rPr>
        <w:t xml:space="preserve"> Department/Program Mission (Any updates due September 15, 2009 )</w:t>
      </w:r>
    </w:p>
    <w:p w:rsid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 xml:space="preserve">The primary goal of the Modern Languages and Cultures Department is to facilitate students’ learning of Spanish, French, and German, while also expanding their knowledge and understanding of cultural and linguistic diversity. As a Department, we: </w:t>
      </w:r>
    </w:p>
    <w:p w:rsidR="00D84849" w:rsidRPr="00D84849" w:rsidRDefault="00D84849" w:rsidP="00D84849">
      <w:pPr>
        <w:pStyle w:val="NoSpacing"/>
      </w:pPr>
    </w:p>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1. Bring the world to the classroom and our students:</w:t>
      </w:r>
    </w:p>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 xml:space="preserve">A. By emphasizing the relevance and importance of authentic learning materials. Students learn authentic language skills, cultural competence as well as the historical and geographical backgrounds of cultural realities. </w:t>
      </w:r>
    </w:p>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 xml:space="preserve">B. Through our sequence of language instruction courses that expands and enhances language skills, as well as students’ understanding of, and knowledge about other cultures. </w:t>
      </w:r>
    </w:p>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 xml:space="preserve">C. By engaging students with other cultures through regular cultural activities (lunch tables, cultural programs, cultural events each semester) </w:t>
      </w:r>
    </w:p>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 xml:space="preserve">D. By having different native speaker teaching assistants join us every semester from the countries whose languages we teach. </w:t>
      </w:r>
    </w:p>
    <w:p w:rsid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 xml:space="preserve">E. By having students live in a designated International House, which brings those interested in a particular language together so that they may practice their language skills with each other as well as a Native Speaker Teaching Assistant. </w:t>
      </w:r>
    </w:p>
    <w:p w:rsidR="00D84849" w:rsidRPr="00D84849" w:rsidRDefault="00D84849" w:rsidP="00D84849">
      <w:pPr>
        <w:pStyle w:val="NoSpacing"/>
      </w:pPr>
    </w:p>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 xml:space="preserve">2. Bring our students to the world: </w:t>
      </w:r>
    </w:p>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 xml:space="preserve">A. Via short term travel-programs connected to specific courses led by departmental faculty. (Departmental </w:t>
      </w:r>
      <w:proofErr w:type="gramStart"/>
      <w:r w:rsidRPr="00D84849">
        <w:rPr>
          <w:rFonts w:ascii="Times New Roman" w:eastAsia="Times New Roman" w:hAnsi="Times New Roman" w:cs="Times New Roman"/>
          <w:szCs w:val="24"/>
        </w:rPr>
        <w:t>faculty have</w:t>
      </w:r>
      <w:proofErr w:type="gramEnd"/>
      <w:r w:rsidRPr="00D84849">
        <w:rPr>
          <w:rFonts w:ascii="Times New Roman" w:eastAsia="Times New Roman" w:hAnsi="Times New Roman" w:cs="Times New Roman"/>
          <w:szCs w:val="24"/>
        </w:rPr>
        <w:t xml:space="preserve"> taken students to France, Germany, Argentina, Cameroon, Spain and California). </w:t>
      </w:r>
    </w:p>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 xml:space="preserve">B. By sending students to off-campus study programs that focus either on academic course work or international internships in different fields, or a mixture of both. </w:t>
      </w:r>
    </w:p>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 xml:space="preserve">C. Through a successful program where Modern Language students are paired with Albion Elementary school classes to teach a foreign language once a week to Elementary school children. </w:t>
      </w:r>
    </w:p>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 xml:space="preserve">D. By off-campus fieldwork, </w:t>
      </w:r>
      <w:proofErr w:type="gramStart"/>
      <w:r w:rsidRPr="00D84849">
        <w:rPr>
          <w:rFonts w:ascii="Times New Roman" w:eastAsia="Times New Roman" w:hAnsi="Times New Roman" w:cs="Times New Roman"/>
          <w:szCs w:val="24"/>
        </w:rPr>
        <w:t>which is an important component of some of our off-campus programs.</w:t>
      </w:r>
      <w:proofErr w:type="gramEnd"/>
      <w:r w:rsidRPr="00D84849">
        <w:rPr>
          <w:rFonts w:ascii="Times New Roman" w:eastAsia="Times New Roman" w:hAnsi="Times New Roman" w:cs="Times New Roman"/>
          <w:szCs w:val="24"/>
        </w:rPr>
        <w:t xml:space="preserve"> </w:t>
      </w:r>
    </w:p>
    <w:p w:rsid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 xml:space="preserve">E. By helping graduating seniors receive Fulbright scholarships. The Department has been the primary recipient at the College of these awards since 2003. These scholarships allow Albion grads the opportunity to apply and expand upon their recently acquired cultural and linguistic knowledge by funding a year of study and teaching in a country other than their own. </w:t>
      </w:r>
    </w:p>
    <w:p w:rsidR="00D84849" w:rsidRPr="00D84849" w:rsidRDefault="00D84849" w:rsidP="00D84849">
      <w:pPr>
        <w:pStyle w:val="NoSpacing"/>
      </w:pPr>
    </w:p>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 xml:space="preserve">3. Prepare our students to be global citizens: </w:t>
      </w:r>
    </w:p>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 xml:space="preserve">A. By allowing students to choose between different tracks for their studies: </w:t>
      </w:r>
    </w:p>
    <w:p w:rsidR="00D84849" w:rsidRPr="00D84849" w:rsidRDefault="00D84849" w:rsidP="00D84849">
      <w:pPr>
        <w:spacing w:after="0" w:line="240" w:lineRule="auto"/>
        <w:rPr>
          <w:rFonts w:ascii="Times New Roman" w:eastAsia="Times New Roman" w:hAnsi="Times New Roman" w:cs="Times New Roman"/>
          <w:szCs w:val="24"/>
        </w:rPr>
      </w:pPr>
      <w:proofErr w:type="spellStart"/>
      <w:proofErr w:type="gramStart"/>
      <w:r w:rsidRPr="00D84849">
        <w:rPr>
          <w:rFonts w:ascii="Times New Roman" w:eastAsia="Times New Roman" w:hAnsi="Times New Roman" w:cs="Times New Roman"/>
          <w:szCs w:val="24"/>
        </w:rPr>
        <w:t>i</w:t>
      </w:r>
      <w:proofErr w:type="spellEnd"/>
      <w:proofErr w:type="gramEnd"/>
      <w:r w:rsidRPr="00D84849">
        <w:rPr>
          <w:rFonts w:ascii="Times New Roman" w:eastAsia="Times New Roman" w:hAnsi="Times New Roman" w:cs="Times New Roman"/>
          <w:szCs w:val="24"/>
        </w:rPr>
        <w:t xml:space="preserve">. a </w:t>
      </w:r>
      <w:r w:rsidRPr="00D84849">
        <w:rPr>
          <w:rFonts w:ascii="Times New Roman" w:eastAsia="Times New Roman" w:hAnsi="Times New Roman" w:cs="Times New Roman"/>
          <w:i/>
          <w:iCs/>
          <w:szCs w:val="24"/>
        </w:rPr>
        <w:t>Cultural Area Studies</w:t>
      </w:r>
      <w:r w:rsidRPr="00D84849">
        <w:rPr>
          <w:rFonts w:ascii="Times New Roman" w:eastAsia="Times New Roman" w:hAnsi="Times New Roman" w:cs="Times New Roman"/>
          <w:szCs w:val="24"/>
        </w:rPr>
        <w:t xml:space="preserve"> track or </w:t>
      </w:r>
    </w:p>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 xml:space="preserve">ii. Languages and Cultures for the Professions, which </w:t>
      </w:r>
      <w:proofErr w:type="gramStart"/>
      <w:r w:rsidRPr="00D84849">
        <w:rPr>
          <w:rFonts w:ascii="Times New Roman" w:eastAsia="Times New Roman" w:hAnsi="Times New Roman" w:cs="Times New Roman"/>
          <w:szCs w:val="24"/>
        </w:rPr>
        <w:t>was</w:t>
      </w:r>
      <w:proofErr w:type="gramEnd"/>
      <w:r w:rsidRPr="00D84849">
        <w:rPr>
          <w:rFonts w:ascii="Times New Roman" w:eastAsia="Times New Roman" w:hAnsi="Times New Roman" w:cs="Times New Roman"/>
          <w:szCs w:val="24"/>
        </w:rPr>
        <w:t xml:space="preserve"> specifically designed for those students who want to prepare themselves for professions with an international component or in an international setting. Both tracks emphasize language acquisition as well as cultural understanding. Students on the cultural areas track usually focus on academic studies during their </w:t>
      </w:r>
      <w:r w:rsidRPr="00D84849">
        <w:rPr>
          <w:rFonts w:ascii="Times New Roman" w:eastAsia="Times New Roman" w:hAnsi="Times New Roman" w:cs="Times New Roman"/>
          <w:szCs w:val="24"/>
        </w:rPr>
        <w:lastRenderedPageBreak/>
        <w:t xml:space="preserve">time spent off-campus, while language and professions students focus primarily on an international internship in an area of their interest. </w:t>
      </w:r>
    </w:p>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 xml:space="preserve">B. By providing further opportunities for our students to engage in a meaningful way with the world through a number of initiatives: </w:t>
      </w:r>
    </w:p>
    <w:p w:rsidR="00D84849" w:rsidRPr="00D84849" w:rsidRDefault="00D84849" w:rsidP="00D84849">
      <w:pPr>
        <w:spacing w:after="0" w:line="240" w:lineRule="auto"/>
        <w:rPr>
          <w:rFonts w:ascii="Times New Roman" w:eastAsia="Times New Roman" w:hAnsi="Times New Roman" w:cs="Times New Roman"/>
          <w:szCs w:val="24"/>
        </w:rPr>
      </w:pPr>
      <w:proofErr w:type="spellStart"/>
      <w:proofErr w:type="gramStart"/>
      <w:r w:rsidRPr="00D84849">
        <w:rPr>
          <w:rFonts w:ascii="Times New Roman" w:eastAsia="Times New Roman" w:hAnsi="Times New Roman" w:cs="Times New Roman"/>
          <w:szCs w:val="24"/>
        </w:rPr>
        <w:t>i</w:t>
      </w:r>
      <w:proofErr w:type="spellEnd"/>
      <w:proofErr w:type="gramEnd"/>
      <w:r w:rsidRPr="00D84849">
        <w:rPr>
          <w:rFonts w:ascii="Times New Roman" w:eastAsia="Times New Roman" w:hAnsi="Times New Roman" w:cs="Times New Roman"/>
          <w:szCs w:val="24"/>
        </w:rPr>
        <w:t>. The Albion Sister-City relationship with Noisy-le-</w:t>
      </w:r>
      <w:proofErr w:type="spellStart"/>
      <w:r w:rsidRPr="00D84849">
        <w:rPr>
          <w:rFonts w:ascii="Times New Roman" w:eastAsia="Times New Roman" w:hAnsi="Times New Roman" w:cs="Times New Roman"/>
          <w:szCs w:val="24"/>
        </w:rPr>
        <w:t>Roi</w:t>
      </w:r>
      <w:proofErr w:type="spellEnd"/>
      <w:r w:rsidRPr="00D84849">
        <w:rPr>
          <w:rFonts w:ascii="Times New Roman" w:eastAsia="Times New Roman" w:hAnsi="Times New Roman" w:cs="Times New Roman"/>
          <w:szCs w:val="24"/>
        </w:rPr>
        <w:t xml:space="preserve">, France. Nearly 200 Albion students have traveled to Noisy for internships or as part of their off-campus study. </w:t>
      </w:r>
    </w:p>
    <w:p w:rsidR="00D84849" w:rsidRPr="00D84849" w:rsidRDefault="00D84849" w:rsidP="00D84849">
      <w:pPr>
        <w:spacing w:after="0" w:line="240" w:lineRule="auto"/>
        <w:rPr>
          <w:rFonts w:ascii="Times New Roman" w:eastAsia="Times New Roman" w:hAnsi="Times New Roman" w:cs="Times New Roman"/>
          <w:szCs w:val="24"/>
        </w:rPr>
      </w:pPr>
      <w:proofErr w:type="gramStart"/>
      <w:r w:rsidRPr="00D84849">
        <w:rPr>
          <w:rFonts w:ascii="Times New Roman" w:eastAsia="Times New Roman" w:hAnsi="Times New Roman" w:cs="Times New Roman"/>
          <w:szCs w:val="24"/>
        </w:rPr>
        <w:t>ii</w:t>
      </w:r>
      <w:proofErr w:type="gramEnd"/>
      <w:r w:rsidRPr="00D84849">
        <w:rPr>
          <w:rFonts w:ascii="Times New Roman" w:eastAsia="Times New Roman" w:hAnsi="Times New Roman" w:cs="Times New Roman"/>
          <w:szCs w:val="24"/>
        </w:rPr>
        <w:t xml:space="preserve">. Entrepreneurial Exchange with ESCIA (French Business School in </w:t>
      </w:r>
      <w:proofErr w:type="spellStart"/>
      <w:r w:rsidRPr="00D84849">
        <w:rPr>
          <w:rFonts w:ascii="Times New Roman" w:eastAsia="Times New Roman" w:hAnsi="Times New Roman" w:cs="Times New Roman"/>
          <w:szCs w:val="24"/>
        </w:rPr>
        <w:t>Cergy-Pontoise</w:t>
      </w:r>
      <w:proofErr w:type="spellEnd"/>
      <w:r w:rsidRPr="00D84849">
        <w:rPr>
          <w:rFonts w:ascii="Times New Roman" w:eastAsia="Times New Roman" w:hAnsi="Times New Roman" w:cs="Times New Roman"/>
          <w:szCs w:val="24"/>
        </w:rPr>
        <w:t xml:space="preserve">). Albion students travel for one-week France to work on creating a new business idea with a group of French students. The students continue to work on the project through advanced communication technology. The French students travel to Albion the same semester to finalize the project. </w:t>
      </w:r>
    </w:p>
    <w:p w:rsidR="00D84849" w:rsidRPr="00D84849" w:rsidRDefault="00D84849" w:rsidP="00D84849">
      <w:pPr>
        <w:spacing w:after="0" w:line="240" w:lineRule="auto"/>
        <w:rPr>
          <w:rFonts w:ascii="Times New Roman" w:eastAsia="Times New Roman" w:hAnsi="Times New Roman" w:cs="Times New Roman"/>
          <w:szCs w:val="24"/>
        </w:rPr>
      </w:pPr>
      <w:proofErr w:type="gramStart"/>
      <w:r w:rsidRPr="00D84849">
        <w:rPr>
          <w:rFonts w:ascii="Times New Roman" w:eastAsia="Times New Roman" w:hAnsi="Times New Roman" w:cs="Times New Roman"/>
          <w:szCs w:val="24"/>
        </w:rPr>
        <w:t>iii</w:t>
      </w:r>
      <w:proofErr w:type="gramEnd"/>
      <w:r w:rsidRPr="00D84849">
        <w:rPr>
          <w:rFonts w:ascii="Times New Roman" w:eastAsia="Times New Roman" w:hAnsi="Times New Roman" w:cs="Times New Roman"/>
          <w:szCs w:val="24"/>
        </w:rPr>
        <w:t xml:space="preserve">. The </w:t>
      </w:r>
      <w:proofErr w:type="spellStart"/>
      <w:r w:rsidRPr="00D84849">
        <w:rPr>
          <w:rFonts w:ascii="Times New Roman" w:eastAsia="Times New Roman" w:hAnsi="Times New Roman" w:cs="Times New Roman"/>
          <w:szCs w:val="24"/>
        </w:rPr>
        <w:t>Nwagni</w:t>
      </w:r>
      <w:proofErr w:type="spellEnd"/>
      <w:r w:rsidRPr="00D84849">
        <w:rPr>
          <w:rFonts w:ascii="Times New Roman" w:eastAsia="Times New Roman" w:hAnsi="Times New Roman" w:cs="Times New Roman"/>
          <w:szCs w:val="24"/>
        </w:rPr>
        <w:t xml:space="preserve"> Project, the goal of which is to enhance the educational opportunities of children in </w:t>
      </w:r>
      <w:proofErr w:type="spellStart"/>
      <w:r w:rsidRPr="00D84849">
        <w:rPr>
          <w:rFonts w:ascii="Times New Roman" w:eastAsia="Times New Roman" w:hAnsi="Times New Roman" w:cs="Times New Roman"/>
          <w:szCs w:val="24"/>
        </w:rPr>
        <w:t>Batchingou</w:t>
      </w:r>
      <w:proofErr w:type="spellEnd"/>
      <w:r w:rsidRPr="00D84849">
        <w:rPr>
          <w:rFonts w:ascii="Times New Roman" w:eastAsia="Times New Roman" w:hAnsi="Times New Roman" w:cs="Times New Roman"/>
          <w:szCs w:val="24"/>
        </w:rPr>
        <w:t xml:space="preserve">, Cameroon. This program arose out of a student’s experience in Cameroon, during a FYE trip. </w:t>
      </w:r>
    </w:p>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 xml:space="preserve">iii. We also have a connection with Paso </w:t>
      </w:r>
      <w:proofErr w:type="spellStart"/>
      <w:r w:rsidRPr="00D84849">
        <w:rPr>
          <w:rFonts w:ascii="Times New Roman" w:eastAsia="Times New Roman" w:hAnsi="Times New Roman" w:cs="Times New Roman"/>
          <w:szCs w:val="24"/>
        </w:rPr>
        <w:t>Pacifíco</w:t>
      </w:r>
      <w:proofErr w:type="spellEnd"/>
      <w:r w:rsidRPr="00D84849">
        <w:rPr>
          <w:rFonts w:ascii="Times New Roman" w:eastAsia="Times New Roman" w:hAnsi="Times New Roman" w:cs="Times New Roman"/>
          <w:szCs w:val="24"/>
        </w:rPr>
        <w:t xml:space="preserve">, an environmental organization to reserve and conserve part of the Pacific coast in Nicaragua, with one of our faculty serving on the Board of Directors. </w:t>
      </w:r>
    </w:p>
    <w:p w:rsidR="00D84849" w:rsidRPr="00D84849" w:rsidRDefault="00D84849" w:rsidP="00D84849">
      <w:pPr>
        <w:spacing w:after="240" w:line="240" w:lineRule="auto"/>
        <w:rPr>
          <w:rFonts w:ascii="Times New Roman" w:eastAsia="Times New Roman" w:hAnsi="Times New Roman" w:cs="Times New Roman"/>
          <w:szCs w:val="24"/>
        </w:rPr>
      </w:pPr>
    </w:p>
    <w:p w:rsidR="00D84849" w:rsidRPr="00D84849" w:rsidRDefault="00D84849" w:rsidP="00D84849">
      <w:pPr>
        <w:spacing w:before="100" w:beforeAutospacing="1" w:after="100" w:afterAutospacing="1" w:line="240" w:lineRule="auto"/>
        <w:outlineLvl w:val="2"/>
        <w:rPr>
          <w:rFonts w:ascii="Times New Roman" w:eastAsia="Times New Roman" w:hAnsi="Times New Roman" w:cs="Times New Roman"/>
          <w:b/>
          <w:bCs/>
          <w:szCs w:val="24"/>
        </w:rPr>
      </w:pPr>
      <w:r w:rsidRPr="00D84849">
        <w:rPr>
          <w:rFonts w:ascii="Times New Roman" w:eastAsia="Times New Roman" w:hAnsi="Times New Roman" w:cs="Times New Roman"/>
          <w:b/>
          <w:bCs/>
          <w:szCs w:val="24"/>
        </w:rPr>
        <w:t xml:space="preserve">Step 2: List goals/outcomes (Any updates due September 15, </w:t>
      </w:r>
      <w:proofErr w:type="gramStart"/>
      <w:r w:rsidRPr="00D84849">
        <w:rPr>
          <w:rFonts w:ascii="Times New Roman" w:eastAsia="Times New Roman" w:hAnsi="Times New Roman" w:cs="Times New Roman"/>
          <w:b/>
          <w:bCs/>
          <w:szCs w:val="24"/>
        </w:rPr>
        <w:t>2009 )</w:t>
      </w:r>
      <w:proofErr w:type="gramEnd"/>
    </w:p>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 xml:space="preserve">Specific outcomes for which program components have been identified: </w:t>
      </w:r>
    </w:p>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 xml:space="preserve">1. The increase of students’ linguistic competency in the target language so that more than half demonstrate an oral and written proficiency level of “advanced low” on the </w:t>
      </w:r>
      <w:hyperlink r:id="rId5" w:tgtFrame="_blank" w:history="1">
        <w:proofErr w:type="spellStart"/>
        <w:r w:rsidRPr="00D84849">
          <w:rPr>
            <w:rFonts w:ascii="Times New Roman" w:eastAsia="Times New Roman" w:hAnsi="Times New Roman" w:cs="Times New Roman"/>
            <w:color w:val="0000FF"/>
            <w:szCs w:val="24"/>
            <w:u w:val="single"/>
          </w:rPr>
          <w:t>actfl</w:t>
        </w:r>
        <w:proofErr w:type="spellEnd"/>
        <w:r w:rsidRPr="00D84849">
          <w:rPr>
            <w:rFonts w:ascii="Times New Roman" w:eastAsia="Times New Roman" w:hAnsi="Times New Roman" w:cs="Times New Roman"/>
            <w:color w:val="0000FF"/>
            <w:szCs w:val="24"/>
            <w:u w:val="single"/>
          </w:rPr>
          <w:t xml:space="preserve"> </w:t>
        </w:r>
      </w:hyperlink>
      <w:r w:rsidRPr="00D84849">
        <w:rPr>
          <w:rFonts w:ascii="Times New Roman" w:eastAsia="Times New Roman" w:hAnsi="Times New Roman" w:cs="Times New Roman"/>
          <w:szCs w:val="24"/>
        </w:rPr>
        <w:t xml:space="preserve">scale. </w:t>
      </w:r>
    </w:p>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 xml:space="preserve">2. The development of the ability to think and express themselves critically and creatively in the target language. </w:t>
      </w:r>
    </w:p>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 xml:space="preserve">3. The acquisition of an understanding of the target language culture(s), history, societies and civilizations. </w:t>
      </w:r>
    </w:p>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 xml:space="preserve">4. The development of the ability to recognize, analyze and interpret cultural production (literature, film, painting, music etc.) in the target language. </w:t>
      </w:r>
    </w:p>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b/>
          <w:bCs/>
          <w:szCs w:val="24"/>
        </w:rPr>
        <w:t> </w:t>
      </w:r>
    </w:p>
    <w:p w:rsidR="00D84849" w:rsidRPr="00D84849" w:rsidRDefault="00D84849" w:rsidP="00D84849">
      <w:pPr>
        <w:spacing w:after="0" w:line="240" w:lineRule="auto"/>
        <w:rPr>
          <w:rFonts w:ascii="Times New Roman" w:eastAsia="Times New Roman" w:hAnsi="Times New Roman" w:cs="Times New Roman"/>
          <w:b/>
          <w:bCs/>
          <w:szCs w:val="24"/>
        </w:rPr>
      </w:pPr>
      <w:r w:rsidRPr="00D84849">
        <w:rPr>
          <w:rFonts w:ascii="Times New Roman" w:eastAsia="Times New Roman" w:hAnsi="Times New Roman" w:cs="Times New Roman"/>
          <w:szCs w:val="24"/>
        </w:rPr>
        <w:t> </w:t>
      </w:r>
      <w:r w:rsidRPr="00D84849">
        <w:rPr>
          <w:rFonts w:ascii="Times New Roman" w:eastAsia="Times New Roman" w:hAnsi="Times New Roman" w:cs="Times New Roman"/>
          <w:b/>
          <w:bCs/>
          <w:szCs w:val="24"/>
        </w:rPr>
        <w:t xml:space="preserve">Step 3: Identify program components (Any updates due September 15, </w:t>
      </w:r>
      <w:proofErr w:type="gramStart"/>
      <w:r w:rsidRPr="00D84849">
        <w:rPr>
          <w:rFonts w:ascii="Times New Roman" w:eastAsia="Times New Roman" w:hAnsi="Times New Roman" w:cs="Times New Roman"/>
          <w:b/>
          <w:bCs/>
          <w:szCs w:val="24"/>
        </w:rPr>
        <w:t>2009 )</w:t>
      </w:r>
      <w:proofErr w:type="gramEnd"/>
    </w:p>
    <w:p w:rsidR="00D84849" w:rsidRPr="00D84849" w:rsidRDefault="00D84849" w:rsidP="00D84849">
      <w:pPr>
        <w:spacing w:after="0" w:line="240" w:lineRule="auto"/>
        <w:rPr>
          <w:rFonts w:ascii="Times New Roman" w:eastAsia="Times New Roman" w:hAnsi="Times New Roman" w:cs="Times New Roman"/>
          <w:szCs w:val="24"/>
        </w:rPr>
      </w:pPr>
    </w:p>
    <w:p w:rsidR="00D84849" w:rsidRPr="00D84849" w:rsidRDefault="00D84849" w:rsidP="00D84849">
      <w:pPr>
        <w:spacing w:after="0" w:line="240" w:lineRule="auto"/>
        <w:rPr>
          <w:rFonts w:ascii="Times New Roman" w:eastAsia="Times New Roman" w:hAnsi="Times New Roman" w:cs="Times New Roman"/>
          <w:szCs w:val="24"/>
        </w:rPr>
      </w:pPr>
      <w:proofErr w:type="gramStart"/>
      <w:r w:rsidRPr="00D84849">
        <w:rPr>
          <w:rFonts w:ascii="Times New Roman" w:eastAsia="Times New Roman" w:hAnsi="Times New Roman" w:cs="Times New Roman"/>
          <w:b/>
          <w:bCs/>
          <w:szCs w:val="24"/>
        </w:rPr>
        <w:t>Outcome 1</w:t>
      </w:r>
      <w:r w:rsidRPr="00D84849">
        <w:rPr>
          <w:rFonts w:ascii="Times New Roman" w:eastAsia="Times New Roman" w:hAnsi="Times New Roman" w:cs="Times New Roman"/>
          <w:szCs w:val="24"/>
        </w:rPr>
        <w:t>.</w:t>
      </w:r>
      <w:proofErr w:type="gramEnd"/>
      <w:r w:rsidRPr="00D84849">
        <w:rPr>
          <w:rFonts w:ascii="Times New Roman" w:eastAsia="Times New Roman" w:hAnsi="Times New Roman" w:cs="Times New Roman"/>
          <w:szCs w:val="24"/>
        </w:rPr>
        <w:t xml:space="preserve"> </w:t>
      </w:r>
      <w:r w:rsidRPr="00D84849">
        <w:rPr>
          <w:rFonts w:ascii="Times New Roman" w:eastAsia="Times New Roman" w:hAnsi="Times New Roman" w:cs="Times New Roman"/>
          <w:i/>
          <w:iCs/>
          <w:szCs w:val="24"/>
        </w:rPr>
        <w:t xml:space="preserve">The increase of students’ linguistic competency in the target language so that more than half demonstrate an oral and written proficiency level of “advanced low” on the </w:t>
      </w:r>
      <w:proofErr w:type="spellStart"/>
      <w:r w:rsidRPr="00D84849">
        <w:rPr>
          <w:rFonts w:ascii="Times New Roman" w:eastAsia="Times New Roman" w:hAnsi="Times New Roman" w:cs="Times New Roman"/>
          <w:i/>
          <w:iCs/>
          <w:szCs w:val="24"/>
        </w:rPr>
        <w:t>actfl</w:t>
      </w:r>
      <w:proofErr w:type="spellEnd"/>
      <w:r w:rsidRPr="00D84849">
        <w:rPr>
          <w:rFonts w:ascii="Times New Roman" w:eastAsia="Times New Roman" w:hAnsi="Times New Roman" w:cs="Times New Roman"/>
          <w:i/>
          <w:iCs/>
          <w:szCs w:val="24"/>
        </w:rPr>
        <w:t xml:space="preserve"> scale. </w:t>
      </w:r>
    </w:p>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a. All of our language proficiency courses, from 101 through to 303 (“For the professions”) and, in Spanish, 304 – Creative writing workshop, help students progress toward this fundamental goal.</w:t>
      </w:r>
    </w:p>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 xml:space="preserve">b. Other components of our program that work towards this goal are: </w:t>
      </w:r>
      <w:r w:rsidRPr="00D84849">
        <w:rPr>
          <w:rFonts w:ascii="Times New Roman" w:eastAsia="Times New Roman" w:hAnsi="Times New Roman" w:cs="Times New Roman"/>
          <w:szCs w:val="24"/>
        </w:rPr>
        <w:br/>
      </w:r>
      <w:proofErr w:type="spellStart"/>
      <w:r w:rsidRPr="00D84849">
        <w:rPr>
          <w:rFonts w:ascii="Times New Roman" w:eastAsia="Times New Roman" w:hAnsi="Times New Roman" w:cs="Times New Roman"/>
          <w:szCs w:val="24"/>
        </w:rPr>
        <w:t>i</w:t>
      </w:r>
      <w:proofErr w:type="spellEnd"/>
      <w:r w:rsidRPr="00D84849">
        <w:rPr>
          <w:rFonts w:ascii="Times New Roman" w:eastAsia="Times New Roman" w:hAnsi="Times New Roman" w:cs="Times New Roman"/>
          <w:szCs w:val="24"/>
        </w:rPr>
        <w:t>. our requirement that students who major in one of our languages, study in an off-campus program where the target language is the native language.</w:t>
      </w:r>
      <w:r w:rsidRPr="00D84849">
        <w:rPr>
          <w:rFonts w:ascii="Times New Roman" w:eastAsia="Times New Roman" w:hAnsi="Times New Roman" w:cs="Times New Roman"/>
          <w:szCs w:val="24"/>
        </w:rPr>
        <w:br/>
        <w:t xml:space="preserve">ii. </w:t>
      </w:r>
      <w:proofErr w:type="gramStart"/>
      <w:r w:rsidRPr="00D84849">
        <w:rPr>
          <w:rFonts w:ascii="Times New Roman" w:eastAsia="Times New Roman" w:hAnsi="Times New Roman" w:cs="Times New Roman"/>
          <w:szCs w:val="24"/>
        </w:rPr>
        <w:t>a</w:t>
      </w:r>
      <w:proofErr w:type="gramEnd"/>
      <w:r w:rsidRPr="00D84849">
        <w:rPr>
          <w:rFonts w:ascii="Times New Roman" w:eastAsia="Times New Roman" w:hAnsi="Times New Roman" w:cs="Times New Roman"/>
          <w:szCs w:val="24"/>
        </w:rPr>
        <w:t xml:space="preserve"> minimum of one-semester residence and participation in the cultural programming of the I-Space (international language and living). Programming in the I-Space is an important component of the program that provides students with opportunities to practice and improve their language skills.</w:t>
      </w:r>
      <w:r w:rsidRPr="00D84849">
        <w:rPr>
          <w:rFonts w:ascii="Times New Roman" w:eastAsia="Times New Roman" w:hAnsi="Times New Roman" w:cs="Times New Roman"/>
          <w:szCs w:val="24"/>
        </w:rPr>
        <w:br/>
        <w:t xml:space="preserve">iii. </w:t>
      </w:r>
      <w:proofErr w:type="gramStart"/>
      <w:r w:rsidRPr="00D84849">
        <w:rPr>
          <w:rFonts w:ascii="Times New Roman" w:eastAsia="Times New Roman" w:hAnsi="Times New Roman" w:cs="Times New Roman"/>
          <w:szCs w:val="24"/>
        </w:rPr>
        <w:t>the</w:t>
      </w:r>
      <w:proofErr w:type="gramEnd"/>
      <w:r w:rsidRPr="00D84849">
        <w:rPr>
          <w:rFonts w:ascii="Times New Roman" w:eastAsia="Times New Roman" w:hAnsi="Times New Roman" w:cs="Times New Roman"/>
          <w:szCs w:val="24"/>
        </w:rPr>
        <w:t xml:space="preserve"> requirement for students in our language classes to attend and participate in the weekly Language Tables as well as weekly cultural activities. </w:t>
      </w:r>
    </w:p>
    <w:p w:rsidR="00D84849" w:rsidRPr="00D84849" w:rsidRDefault="00D84849" w:rsidP="00D84849">
      <w:pPr>
        <w:spacing w:after="0" w:line="240" w:lineRule="auto"/>
        <w:rPr>
          <w:rFonts w:ascii="Times New Roman" w:eastAsia="Times New Roman" w:hAnsi="Times New Roman" w:cs="Times New Roman"/>
          <w:szCs w:val="24"/>
        </w:rPr>
      </w:pPr>
      <w:proofErr w:type="gramStart"/>
      <w:r w:rsidRPr="00D84849">
        <w:rPr>
          <w:rFonts w:ascii="Times New Roman" w:eastAsia="Times New Roman" w:hAnsi="Times New Roman" w:cs="Times New Roman"/>
          <w:b/>
          <w:bCs/>
          <w:szCs w:val="24"/>
        </w:rPr>
        <w:lastRenderedPageBreak/>
        <w:t>Outcome 2</w:t>
      </w:r>
      <w:r w:rsidRPr="00D84849">
        <w:rPr>
          <w:rFonts w:ascii="Times New Roman" w:eastAsia="Times New Roman" w:hAnsi="Times New Roman" w:cs="Times New Roman"/>
          <w:szCs w:val="24"/>
        </w:rPr>
        <w:t>.</w:t>
      </w:r>
      <w:proofErr w:type="gramEnd"/>
      <w:r w:rsidRPr="00D84849">
        <w:rPr>
          <w:rFonts w:ascii="Times New Roman" w:eastAsia="Times New Roman" w:hAnsi="Times New Roman" w:cs="Times New Roman"/>
          <w:szCs w:val="24"/>
        </w:rPr>
        <w:t xml:space="preserve"> </w:t>
      </w:r>
      <w:proofErr w:type="gramStart"/>
      <w:r w:rsidRPr="00D84849">
        <w:rPr>
          <w:rFonts w:ascii="Times New Roman" w:eastAsia="Times New Roman" w:hAnsi="Times New Roman" w:cs="Times New Roman"/>
          <w:i/>
          <w:iCs/>
          <w:szCs w:val="24"/>
        </w:rPr>
        <w:t>The development of the ability to think and express themselves critically and creatively in the target language.</w:t>
      </w:r>
      <w:proofErr w:type="gramEnd"/>
    </w:p>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 xml:space="preserve">All of our upper level course offerings, beyond 302 (and 304 for Spanish) help students develop higher level interpretive and analytical skills in the target language, as does living in the I-Space. </w:t>
      </w:r>
    </w:p>
    <w:p w:rsidR="00D84849" w:rsidRPr="00D84849" w:rsidRDefault="00D84849" w:rsidP="00D84849">
      <w:pPr>
        <w:spacing w:after="0" w:line="240" w:lineRule="auto"/>
        <w:rPr>
          <w:rFonts w:ascii="Times New Roman" w:eastAsia="Times New Roman" w:hAnsi="Times New Roman" w:cs="Times New Roman"/>
          <w:szCs w:val="24"/>
        </w:rPr>
      </w:pPr>
      <w:proofErr w:type="gramStart"/>
      <w:r w:rsidRPr="00D84849">
        <w:rPr>
          <w:rFonts w:ascii="Times New Roman" w:eastAsia="Times New Roman" w:hAnsi="Times New Roman" w:cs="Times New Roman"/>
          <w:b/>
          <w:bCs/>
          <w:szCs w:val="24"/>
        </w:rPr>
        <w:t>Outcome 3</w:t>
      </w:r>
      <w:r w:rsidRPr="00D84849">
        <w:rPr>
          <w:rFonts w:ascii="Times New Roman" w:eastAsia="Times New Roman" w:hAnsi="Times New Roman" w:cs="Times New Roman"/>
          <w:szCs w:val="24"/>
        </w:rPr>
        <w:t>.</w:t>
      </w:r>
      <w:proofErr w:type="gramEnd"/>
      <w:r w:rsidRPr="00D84849">
        <w:rPr>
          <w:rFonts w:ascii="Times New Roman" w:eastAsia="Times New Roman" w:hAnsi="Times New Roman" w:cs="Times New Roman"/>
          <w:szCs w:val="24"/>
        </w:rPr>
        <w:t xml:space="preserve"> </w:t>
      </w:r>
      <w:r w:rsidRPr="00D84849">
        <w:rPr>
          <w:rFonts w:ascii="Times New Roman" w:eastAsia="Times New Roman" w:hAnsi="Times New Roman" w:cs="Times New Roman"/>
          <w:i/>
          <w:iCs/>
          <w:szCs w:val="24"/>
        </w:rPr>
        <w:t xml:space="preserve">The acquisition of an understanding of the target language culture(s), history, </w:t>
      </w:r>
      <w:proofErr w:type="spellStart"/>
      <w:proofErr w:type="gramStart"/>
      <w:r w:rsidRPr="00D84849">
        <w:rPr>
          <w:rFonts w:ascii="Times New Roman" w:eastAsia="Times New Roman" w:hAnsi="Times New Roman" w:cs="Times New Roman"/>
          <w:i/>
          <w:iCs/>
          <w:szCs w:val="24"/>
        </w:rPr>
        <w:t>societ</w:t>
      </w:r>
      <w:proofErr w:type="spellEnd"/>
      <w:r w:rsidRPr="00D84849">
        <w:rPr>
          <w:rFonts w:ascii="Times New Roman" w:eastAsia="Times New Roman" w:hAnsi="Times New Roman" w:cs="Times New Roman"/>
          <w:i/>
          <w:iCs/>
          <w:szCs w:val="24"/>
        </w:rPr>
        <w:t>(</w:t>
      </w:r>
      <w:proofErr w:type="spellStart"/>
      <w:proofErr w:type="gramEnd"/>
      <w:r w:rsidRPr="00D84849">
        <w:rPr>
          <w:rFonts w:ascii="Times New Roman" w:eastAsia="Times New Roman" w:hAnsi="Times New Roman" w:cs="Times New Roman"/>
          <w:i/>
          <w:iCs/>
          <w:szCs w:val="24"/>
        </w:rPr>
        <w:t>ies</w:t>
      </w:r>
      <w:proofErr w:type="spellEnd"/>
      <w:r w:rsidRPr="00D84849">
        <w:rPr>
          <w:rFonts w:ascii="Times New Roman" w:eastAsia="Times New Roman" w:hAnsi="Times New Roman" w:cs="Times New Roman"/>
          <w:i/>
          <w:iCs/>
          <w:szCs w:val="24"/>
        </w:rPr>
        <w:t xml:space="preserve">) and civilizations. </w:t>
      </w:r>
    </w:p>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 xml:space="preserve">a. Important cultural content is integrated into all of our language courses, including the language sequence (101-304). Each language section offers special courses that provide students with a cultural and historical context for the language and cultural artifacts that they study in the program. Furthermore, our advanced upper division courses all deal with cultural production and themes that help students achieve a more profound cultural understanding of certain places, groups and cultures of the non-English -speaking world. </w:t>
      </w:r>
    </w:p>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 xml:space="preserve">b. Residence and participation in the International House programming is also key, since the meetings and activities are directed by Native Speaking Teaching Assistants from Latin America, Spain , France or the Franco-phone world, as well as Germany or Austria, who are encouraged to integrate their experiences in their home country into the programming. </w:t>
      </w:r>
    </w:p>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 xml:space="preserve">c. Off-campus experience </w:t>
      </w:r>
    </w:p>
    <w:p w:rsidR="00D84849" w:rsidRPr="00D84849" w:rsidRDefault="00D84849" w:rsidP="00D84849">
      <w:pPr>
        <w:spacing w:after="0" w:line="240" w:lineRule="auto"/>
        <w:rPr>
          <w:rFonts w:ascii="Times New Roman" w:eastAsia="Times New Roman" w:hAnsi="Times New Roman" w:cs="Times New Roman"/>
          <w:szCs w:val="24"/>
        </w:rPr>
      </w:pPr>
      <w:proofErr w:type="gramStart"/>
      <w:r w:rsidRPr="00D84849">
        <w:rPr>
          <w:rFonts w:ascii="Times New Roman" w:eastAsia="Times New Roman" w:hAnsi="Times New Roman" w:cs="Times New Roman"/>
          <w:b/>
          <w:bCs/>
          <w:szCs w:val="24"/>
        </w:rPr>
        <w:t>Outcome 4</w:t>
      </w:r>
      <w:r w:rsidRPr="00D84849">
        <w:rPr>
          <w:rFonts w:ascii="Times New Roman" w:eastAsia="Times New Roman" w:hAnsi="Times New Roman" w:cs="Times New Roman"/>
          <w:szCs w:val="24"/>
        </w:rPr>
        <w:t>.</w:t>
      </w:r>
      <w:proofErr w:type="gramEnd"/>
      <w:r w:rsidRPr="00D84849">
        <w:rPr>
          <w:rFonts w:ascii="Times New Roman" w:eastAsia="Times New Roman" w:hAnsi="Times New Roman" w:cs="Times New Roman"/>
          <w:szCs w:val="24"/>
        </w:rPr>
        <w:t xml:space="preserve"> </w:t>
      </w:r>
      <w:r w:rsidRPr="00D84849">
        <w:rPr>
          <w:rFonts w:ascii="Times New Roman" w:eastAsia="Times New Roman" w:hAnsi="Times New Roman" w:cs="Times New Roman"/>
          <w:i/>
          <w:iCs/>
          <w:szCs w:val="24"/>
        </w:rPr>
        <w:t xml:space="preserve">The development of the ability to recognize, analyze and interpret cultural production (literature, film, painting, music etc.) in the target language. </w:t>
      </w:r>
    </w:p>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 xml:space="preserve">a. These skills are the focus of most of our upper level course offerings. Students read and learn to interpret literary works and movies. They specifically learn how to evaluate, analyze and interpret such cultural productions, by way of a variety of different assignments and projects. This learning is continued beyond the classroom in the different types of cultural programming and also through the opportunity to write and an honors or departmental thesis. </w:t>
      </w:r>
    </w:p>
    <w:p w:rsidR="00D84849" w:rsidRPr="00D84849" w:rsidRDefault="00D84849" w:rsidP="00D84849">
      <w:pPr>
        <w:spacing w:before="100" w:beforeAutospacing="1" w:after="100" w:afterAutospacing="1" w:line="240" w:lineRule="auto"/>
        <w:outlineLvl w:val="2"/>
        <w:rPr>
          <w:rFonts w:ascii="Times New Roman" w:eastAsia="Times New Roman" w:hAnsi="Times New Roman" w:cs="Times New Roman"/>
          <w:b/>
          <w:bCs/>
          <w:szCs w:val="24"/>
        </w:rPr>
      </w:pPr>
      <w:r w:rsidRPr="00D84849">
        <w:rPr>
          <w:rFonts w:ascii="Times New Roman" w:eastAsia="Times New Roman" w:hAnsi="Times New Roman" w:cs="Times New Roman"/>
          <w:b/>
          <w:bCs/>
          <w:szCs w:val="24"/>
        </w:rPr>
        <w:t>Step 4: Select methods/data sources and instruments (Any updates due September 15, 2009)</w:t>
      </w:r>
    </w:p>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 </w:t>
      </w:r>
    </w:p>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i/>
          <w:iCs/>
          <w:szCs w:val="24"/>
        </w:rPr>
        <w:t>Preliminary remarks:</w:t>
      </w:r>
    </w:p>
    <w:p w:rsidR="00D84849" w:rsidRPr="00D84849" w:rsidRDefault="00D84849" w:rsidP="00D84849">
      <w:pPr>
        <w:spacing w:after="0" w:line="240" w:lineRule="auto"/>
        <w:ind w:left="720"/>
        <w:rPr>
          <w:rFonts w:ascii="Times New Roman" w:eastAsia="Times New Roman" w:hAnsi="Times New Roman" w:cs="Times New Roman"/>
          <w:szCs w:val="24"/>
        </w:rPr>
      </w:pPr>
      <w:r w:rsidRPr="00D84849">
        <w:rPr>
          <w:rFonts w:ascii="Times New Roman" w:eastAsia="Times New Roman" w:hAnsi="Times New Roman" w:cs="Times New Roman"/>
          <w:szCs w:val="24"/>
        </w:rPr>
        <w:t xml:space="preserve">·          We should have some data regarding point </w:t>
      </w:r>
      <w:r w:rsidRPr="00D84849">
        <w:rPr>
          <w:rFonts w:ascii="Times New Roman" w:eastAsia="Times New Roman" w:hAnsi="Times New Roman" w:cs="Times New Roman"/>
          <w:b/>
          <w:bCs/>
          <w:szCs w:val="24"/>
        </w:rPr>
        <w:t>Number one</w:t>
      </w:r>
      <w:r w:rsidRPr="00D84849">
        <w:rPr>
          <w:rFonts w:ascii="Times New Roman" w:eastAsia="Times New Roman" w:hAnsi="Times New Roman" w:cs="Times New Roman"/>
          <w:szCs w:val="24"/>
        </w:rPr>
        <w:t xml:space="preserve"> by the fall. </w:t>
      </w:r>
    </w:p>
    <w:p w:rsidR="00D84849" w:rsidRPr="00D84849" w:rsidRDefault="00D84849" w:rsidP="00D84849">
      <w:pPr>
        <w:spacing w:after="0" w:line="240" w:lineRule="auto"/>
        <w:ind w:left="720"/>
        <w:rPr>
          <w:rFonts w:ascii="Times New Roman" w:eastAsia="Times New Roman" w:hAnsi="Times New Roman" w:cs="Times New Roman"/>
          <w:szCs w:val="24"/>
        </w:rPr>
      </w:pPr>
      <w:r w:rsidRPr="00D84849">
        <w:rPr>
          <w:rFonts w:ascii="Times New Roman" w:eastAsia="Times New Roman" w:hAnsi="Times New Roman" w:cs="Times New Roman"/>
          <w:szCs w:val="24"/>
        </w:rPr>
        <w:t xml:space="preserve">·          </w:t>
      </w:r>
      <w:r w:rsidRPr="00D84849">
        <w:rPr>
          <w:rFonts w:ascii="Times New Roman" w:eastAsia="Times New Roman" w:hAnsi="Times New Roman" w:cs="Times New Roman"/>
          <w:b/>
          <w:bCs/>
          <w:szCs w:val="24"/>
        </w:rPr>
        <w:t xml:space="preserve">Number 3 </w:t>
      </w:r>
      <w:r w:rsidRPr="00D84849">
        <w:rPr>
          <w:rFonts w:ascii="Times New Roman" w:eastAsia="Times New Roman" w:hAnsi="Times New Roman" w:cs="Times New Roman"/>
          <w:szCs w:val="24"/>
        </w:rPr>
        <w:t xml:space="preserve">(“for the professions” capstone project) is an assessment tool already available to us. </w:t>
      </w:r>
    </w:p>
    <w:p w:rsidR="00D84849" w:rsidRPr="00D84849" w:rsidRDefault="00D84849" w:rsidP="00D84849">
      <w:pPr>
        <w:spacing w:after="0" w:line="240" w:lineRule="auto"/>
        <w:ind w:left="720"/>
        <w:rPr>
          <w:rFonts w:ascii="Times New Roman" w:eastAsia="Times New Roman" w:hAnsi="Times New Roman" w:cs="Times New Roman"/>
          <w:szCs w:val="24"/>
        </w:rPr>
      </w:pPr>
      <w:r w:rsidRPr="00D84849">
        <w:rPr>
          <w:rFonts w:ascii="Times New Roman" w:eastAsia="Times New Roman" w:hAnsi="Times New Roman" w:cs="Times New Roman"/>
          <w:szCs w:val="24"/>
        </w:rPr>
        <w:t xml:space="preserve">·          The other data collecting ideas will be implemented by the whole </w:t>
      </w:r>
      <w:proofErr w:type="spellStart"/>
      <w:r w:rsidRPr="00D84849">
        <w:rPr>
          <w:rFonts w:ascii="Times New Roman" w:eastAsia="Times New Roman" w:hAnsi="Times New Roman" w:cs="Times New Roman"/>
          <w:szCs w:val="24"/>
        </w:rPr>
        <w:t>department</w:t>
      </w:r>
      <w:proofErr w:type="gramStart"/>
      <w:r w:rsidRPr="00D84849">
        <w:rPr>
          <w:rFonts w:ascii="Times New Roman" w:eastAsia="Times New Roman" w:hAnsi="Times New Roman" w:cs="Times New Roman"/>
          <w:szCs w:val="24"/>
        </w:rPr>
        <w:t>,on</w:t>
      </w:r>
      <w:proofErr w:type="spellEnd"/>
      <w:proofErr w:type="gramEnd"/>
      <w:r w:rsidRPr="00D84849">
        <w:rPr>
          <w:rFonts w:ascii="Times New Roman" w:eastAsia="Times New Roman" w:hAnsi="Times New Roman" w:cs="Times New Roman"/>
          <w:szCs w:val="24"/>
        </w:rPr>
        <w:t xml:space="preserve"> a regular basis beginning this fall. </w:t>
      </w:r>
      <w:proofErr w:type="gramStart"/>
      <w:r w:rsidRPr="00D84849">
        <w:rPr>
          <w:rFonts w:ascii="Times New Roman" w:eastAsia="Times New Roman" w:hAnsi="Times New Roman" w:cs="Times New Roman"/>
          <w:szCs w:val="24"/>
        </w:rPr>
        <w:t xml:space="preserve">(Probably not all at once, </w:t>
      </w:r>
      <w:proofErr w:type="spellStart"/>
      <w:r w:rsidRPr="00D84849">
        <w:rPr>
          <w:rFonts w:ascii="Times New Roman" w:eastAsia="Times New Roman" w:hAnsi="Times New Roman" w:cs="Times New Roman"/>
          <w:szCs w:val="24"/>
        </w:rPr>
        <w:t>e.g.the</w:t>
      </w:r>
      <w:proofErr w:type="spellEnd"/>
      <w:r w:rsidRPr="00D84849">
        <w:rPr>
          <w:rFonts w:ascii="Times New Roman" w:eastAsia="Times New Roman" w:hAnsi="Times New Roman" w:cs="Times New Roman"/>
          <w:szCs w:val="24"/>
        </w:rPr>
        <w:t xml:space="preserve"> oral interviews may not happen until year 2).</w:t>
      </w:r>
      <w:proofErr w:type="gramEnd"/>
      <w:r w:rsidRPr="00D84849">
        <w:rPr>
          <w:rFonts w:ascii="Times New Roman" w:eastAsia="Times New Roman" w:hAnsi="Times New Roman" w:cs="Times New Roman"/>
          <w:szCs w:val="24"/>
        </w:rPr>
        <w:t xml:space="preserve"> </w:t>
      </w:r>
    </w:p>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b/>
          <w:bCs/>
          <w:szCs w:val="24"/>
        </w:rPr>
        <w:t>1</w:t>
      </w:r>
      <w:r w:rsidRPr="00D84849">
        <w:rPr>
          <w:rFonts w:ascii="Times New Roman" w:eastAsia="Times New Roman" w:hAnsi="Times New Roman" w:cs="Times New Roman"/>
          <w:szCs w:val="24"/>
        </w:rPr>
        <w:t xml:space="preserve">. Over the summer the Department of Modern Languages, in conjunction with the CIE, will begin to collect assessment data about where our students place on the various placement exams they must take at the beginning of their off-campus study. Most, if not all off-campus study-programs, in countries where English is not the native language, give placement tests to incoming students, in order to see what level of speaking, writing, listening and reading they have already attained in the target language, before they embark on their studies in the program. This data will indicate how our students have progressed since coming to Albion and enrolling in the language courses in our Department. </w:t>
      </w:r>
    </w:p>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b/>
          <w:bCs/>
          <w:szCs w:val="24"/>
        </w:rPr>
        <w:lastRenderedPageBreak/>
        <w:t>2</w:t>
      </w:r>
      <w:r w:rsidRPr="00D84849">
        <w:rPr>
          <w:rFonts w:ascii="Times New Roman" w:eastAsia="Times New Roman" w:hAnsi="Times New Roman" w:cs="Times New Roman"/>
          <w:szCs w:val="24"/>
        </w:rPr>
        <w:t xml:space="preserve">. Beginning with the next academic year (09-10) the Department of Modern Languages and Cultures will implement two new methods of acquiring data about the linguistic proficiency of our students: </w:t>
      </w:r>
    </w:p>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 xml:space="preserve">A. We have designed a linguistic proficiency assessment tool, which is based on ACTFL proficiency guidelines for writing. This assessment tool will be administered to all students registered in a 301 level course. This course has chosen because it is the first upper-division course that we offer and highlights the beginning stage for our majors. We will conduct this assessment tool again during the </w:t>
      </w:r>
      <w:proofErr w:type="gramStart"/>
      <w:r w:rsidRPr="00D84849">
        <w:rPr>
          <w:rFonts w:ascii="Times New Roman" w:eastAsia="Times New Roman" w:hAnsi="Times New Roman" w:cs="Times New Roman"/>
          <w:szCs w:val="24"/>
        </w:rPr>
        <w:t>Spring</w:t>
      </w:r>
      <w:proofErr w:type="gramEnd"/>
      <w:r w:rsidRPr="00D84849">
        <w:rPr>
          <w:rFonts w:ascii="Times New Roman" w:eastAsia="Times New Roman" w:hAnsi="Times New Roman" w:cs="Times New Roman"/>
          <w:szCs w:val="24"/>
        </w:rPr>
        <w:t xml:space="preserve"> semester of each year to a senior seminar in each of the respective languages. This will provide comparative data snapshot over the life of the majors and minors in our respective languages.  </w:t>
      </w:r>
    </w:p>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 xml:space="preserve">B. In order to assess the development of linguistic proficiency from a more gradual perspective we will require that all graduating students submit a writing portfolio that documents the development of their written skills in the target language. We will ask them to include a writing assignment in the target language from each year (or each semester) at Albion. This will provide us with an overview of their progression in the language across the 4 years they are here. Using the AP grading scale for written assignments will provide data documenting each student's proficiency development. It will require that we collect the portfolios of seniors, give each portfolio AP proficiency grades and enter the information into a data bank. We will also assess where each portfolio places the student within the ACTFL Proficiency guidelines for writing, which will help us document what percentage of our graduating students achieve the “Advanced low” level on that scale. We are also discussing the possibility of conducting oral interviews in the target language based on the Oral Proficiency Interviews conducted under the auspices of ACTFL. This will give us the data necessary to document where our students place on the ACTFL scale. </w:t>
      </w:r>
    </w:p>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b/>
          <w:bCs/>
          <w:szCs w:val="24"/>
        </w:rPr>
        <w:t>3</w:t>
      </w:r>
      <w:r w:rsidRPr="00D84849">
        <w:rPr>
          <w:rFonts w:ascii="Times New Roman" w:eastAsia="Times New Roman" w:hAnsi="Times New Roman" w:cs="Times New Roman"/>
          <w:szCs w:val="24"/>
        </w:rPr>
        <w:t xml:space="preserve">. Since the new “for the professions” track has been offered, all graduating seniors are expected to perform individual research in their senior year in their particular field of interest, in order to demonstrate their expertise both in the target language, and also in the area they have chosen to work on. This track addresses outcomes 1 and 2 cited above because students must have attained adequate linguistic proficiency to complete the research project as well as the ability to conduct research in their chosen field of professional interest. </w:t>
      </w:r>
    </w:p>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b/>
          <w:bCs/>
          <w:szCs w:val="24"/>
        </w:rPr>
        <w:t>4.</w:t>
      </w:r>
      <w:r w:rsidRPr="00D84849">
        <w:rPr>
          <w:rFonts w:ascii="Times New Roman" w:eastAsia="Times New Roman" w:hAnsi="Times New Roman" w:cs="Times New Roman"/>
          <w:szCs w:val="24"/>
        </w:rPr>
        <w:t xml:space="preserve"> Because we feel that it is important to document our student’s progress in other areas, often less easily captured than proficiency in the language (however significant that part is) such as critical and creative thinking (in the target language), understanding cultural and societal norms in the geographical areas they have studied, especially in terms of how they compare to those they grew up with, we are going to have all our graduating seniors write a brief reflective essay (written in the target language) in which they describe the range of skills they think they have been able to develop or acquire in their capacity as Modern Language majors or minors at Albion College. We envision this essay being a forum in which students will be able to reflect upon where they are today in comparison to where they were four years ago, both in terms of proficiency as well as the areas described above. This will give as a clearer indication of how majoring or </w:t>
      </w:r>
      <w:proofErr w:type="spellStart"/>
      <w:r w:rsidRPr="00D84849">
        <w:rPr>
          <w:rFonts w:ascii="Times New Roman" w:eastAsia="Times New Roman" w:hAnsi="Times New Roman" w:cs="Times New Roman"/>
          <w:szCs w:val="24"/>
        </w:rPr>
        <w:t>minoring</w:t>
      </w:r>
      <w:proofErr w:type="spellEnd"/>
      <w:r w:rsidRPr="00D84849">
        <w:rPr>
          <w:rFonts w:ascii="Times New Roman" w:eastAsia="Times New Roman" w:hAnsi="Times New Roman" w:cs="Times New Roman"/>
          <w:szCs w:val="24"/>
        </w:rPr>
        <w:t xml:space="preserve"> in a Modern Language can radically change or reshape a student’s outlook on life. </w:t>
      </w:r>
    </w:p>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pict>
          <v:rect id="_x0000_i1027" style="width:0;height:1.5pt" o:hralign="center" o:hrstd="t" o:hr="t" fillcolor="gray" stroked="f"/>
        </w:pict>
      </w:r>
    </w:p>
    <w:p w:rsidR="00D84849" w:rsidRPr="00D84849" w:rsidRDefault="00D84849" w:rsidP="00D84849">
      <w:pPr>
        <w:spacing w:before="100" w:beforeAutospacing="1" w:after="100" w:afterAutospacing="1" w:line="240" w:lineRule="auto"/>
        <w:outlineLvl w:val="2"/>
        <w:rPr>
          <w:rFonts w:ascii="Times New Roman" w:eastAsia="Times New Roman" w:hAnsi="Times New Roman" w:cs="Times New Roman"/>
          <w:b/>
          <w:bCs/>
          <w:szCs w:val="24"/>
        </w:rPr>
      </w:pPr>
      <w:r w:rsidRPr="00D84849">
        <w:rPr>
          <w:rFonts w:ascii="Times New Roman" w:eastAsia="Times New Roman" w:hAnsi="Times New Roman" w:cs="Times New Roman"/>
          <w:b/>
          <w:bCs/>
          <w:szCs w:val="24"/>
        </w:rPr>
        <w:t>Step 5: Analyze and interpret the data (Due October 1, 2009 with preliminary data; due November 2, 2009 with final data for this assessment cycle)</w:t>
      </w:r>
    </w:p>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lastRenderedPageBreak/>
        <w:t xml:space="preserve"> For our first round of assessment we collected data from all 301 courses for French, German, and Spanish. </w:t>
      </w:r>
      <w:proofErr w:type="gramStart"/>
      <w:r w:rsidRPr="00D84849">
        <w:rPr>
          <w:rFonts w:ascii="Times New Roman" w:eastAsia="Times New Roman" w:hAnsi="Times New Roman" w:cs="Times New Roman"/>
          <w:szCs w:val="24"/>
        </w:rPr>
        <w:t>Later this semester we will apply the same Assessment tool to a senior-seminar level class in each of the language sections for comparison.</w:t>
      </w:r>
      <w:proofErr w:type="gramEnd"/>
      <w:r w:rsidRPr="00D84849">
        <w:rPr>
          <w:rFonts w:ascii="Times New Roman" w:eastAsia="Times New Roman" w:hAnsi="Times New Roman" w:cs="Times New Roman"/>
          <w:szCs w:val="24"/>
        </w:rPr>
        <w:t xml:space="preserve"> The scale below is based on the ACTFL Guidelines for language proficiency (Attached as separate document). The 301 course is in many ways a </w:t>
      </w:r>
      <w:proofErr w:type="spellStart"/>
      <w:r w:rsidRPr="00D84849">
        <w:rPr>
          <w:rFonts w:ascii="Times New Roman" w:eastAsia="Times New Roman" w:hAnsi="Times New Roman" w:cs="Times New Roman"/>
          <w:szCs w:val="24"/>
        </w:rPr>
        <w:t>transtion</w:t>
      </w:r>
      <w:proofErr w:type="spellEnd"/>
      <w:r w:rsidRPr="00D84849">
        <w:rPr>
          <w:rFonts w:ascii="Times New Roman" w:eastAsia="Times New Roman" w:hAnsi="Times New Roman" w:cs="Times New Roman"/>
          <w:szCs w:val="24"/>
        </w:rPr>
        <w:t xml:space="preserve"> course from lower-division language (more structure-based) to upper-division language (more content-based). This is the first upper-division course that our students take. In this course, though grammar is usually still present, there is a shift in this course toward content and theme-based course design. As the data indicates below most of our students at the 301 level are in the intermediate range, which is exactly what we would expect. Those students in 0+ range are the weaker students and are probably in need of remedial work (which could include study abroad)  to have continued success in the major or minor. No differences can be detected across the various categories below. Students seem able to adequately negotiate the required expectations for FL proficiency. Those students who have scored 2+ are most likely to be heritage speakers, i.e. have been speaking the language at home prior to coming to Albion College.  **Japanese will be added once we are able to offer courses above the 301 level.</w:t>
      </w:r>
    </w:p>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 xml:space="preserve">  </w:t>
      </w:r>
    </w:p>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 xml:space="preserve">   </w:t>
      </w:r>
    </w:p>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 </w:t>
      </w:r>
    </w:p>
    <w:tbl>
      <w:tblPr>
        <w:tblW w:w="8560" w:type="dxa"/>
        <w:tblCellSpacing w:w="0" w:type="dxa"/>
        <w:tblCellMar>
          <w:left w:w="0" w:type="dxa"/>
          <w:right w:w="0" w:type="dxa"/>
        </w:tblCellMar>
        <w:tblLook w:val="04A0"/>
      </w:tblPr>
      <w:tblGrid>
        <w:gridCol w:w="234"/>
        <w:gridCol w:w="1613"/>
        <w:gridCol w:w="185"/>
        <w:gridCol w:w="1354"/>
        <w:gridCol w:w="501"/>
        <w:gridCol w:w="1873"/>
        <w:gridCol w:w="960"/>
        <w:gridCol w:w="1404"/>
        <w:gridCol w:w="436"/>
      </w:tblGrid>
      <w:tr w:rsidR="00D84849" w:rsidRPr="00D84849" w:rsidTr="00D84849">
        <w:trPr>
          <w:trHeight w:val="315"/>
          <w:tblCellSpacing w:w="0" w:type="dxa"/>
        </w:trPr>
        <w:tc>
          <w:tcPr>
            <w:tcW w:w="5760" w:type="dxa"/>
            <w:gridSpan w:val="6"/>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i/>
                <w:iCs/>
                <w:szCs w:val="24"/>
              </w:rPr>
              <w:t xml:space="preserve">MLAC Writing </w:t>
            </w:r>
            <w:proofErr w:type="spellStart"/>
            <w:r w:rsidRPr="00D84849">
              <w:rPr>
                <w:rFonts w:ascii="Times New Roman" w:eastAsia="Times New Roman" w:hAnsi="Times New Roman" w:cs="Times New Roman"/>
                <w:i/>
                <w:iCs/>
                <w:szCs w:val="24"/>
              </w:rPr>
              <w:t>Proviciency</w:t>
            </w:r>
            <w:proofErr w:type="spellEnd"/>
            <w:r w:rsidRPr="00D84849">
              <w:rPr>
                <w:rFonts w:ascii="Times New Roman" w:eastAsia="Times New Roman" w:hAnsi="Times New Roman" w:cs="Times New Roman"/>
                <w:i/>
                <w:iCs/>
                <w:szCs w:val="24"/>
              </w:rPr>
              <w:t xml:space="preserve"> Assessment Tool</w:t>
            </w:r>
            <w:r w:rsidRPr="00D84849">
              <w:rPr>
                <w:rFonts w:ascii="Times New Roman" w:eastAsia="Times New Roman" w:hAnsi="Times New Roman" w:cs="Times New Roman"/>
                <w:b/>
                <w:bCs/>
                <w:i/>
                <w:iCs/>
                <w:szCs w:val="24"/>
              </w:rPr>
              <w:t xml:space="preserve"> DATA</w:t>
            </w:r>
          </w:p>
        </w:tc>
        <w:tc>
          <w:tcPr>
            <w:tcW w:w="960" w:type="dxa"/>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1840" w:type="dxa"/>
            <w:gridSpan w:val="2"/>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Fall 2009</w:t>
            </w:r>
          </w:p>
        </w:tc>
      </w:tr>
      <w:tr w:rsidR="00D84849" w:rsidRPr="00D84849" w:rsidTr="00D84849">
        <w:trPr>
          <w:trHeight w:val="300"/>
          <w:tblCellSpacing w:w="0" w:type="dxa"/>
        </w:trPr>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r>
      <w:tr w:rsidR="00D84849" w:rsidRPr="00D84849" w:rsidTr="00D84849">
        <w:trPr>
          <w:trHeight w:val="315"/>
          <w:tblCellSpacing w:w="0" w:type="dxa"/>
        </w:trPr>
        <w:tc>
          <w:tcPr>
            <w:tcW w:w="0" w:type="auto"/>
            <w:gridSpan w:val="3"/>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Assessment Scale:</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 xml:space="preserve">Bitmap </w:t>
            </w:r>
          </w:p>
          <w:tbl>
            <w:tblPr>
              <w:tblW w:w="0" w:type="auto"/>
              <w:tblCellSpacing w:w="0" w:type="dxa"/>
              <w:tblCellMar>
                <w:left w:w="0" w:type="dxa"/>
                <w:right w:w="0" w:type="dxa"/>
              </w:tblCellMar>
              <w:tblLook w:val="04A0"/>
            </w:tblPr>
            <w:tblGrid>
              <w:gridCol w:w="960"/>
            </w:tblGrid>
            <w:tr w:rsidR="00D84849" w:rsidRPr="00D84849">
              <w:trPr>
                <w:trHeight w:val="315"/>
                <w:tblCellSpacing w:w="0" w:type="dxa"/>
              </w:trPr>
              <w:tc>
                <w:tcPr>
                  <w:tcW w:w="960" w:type="dxa"/>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r>
          </w:tbl>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r>
      <w:tr w:rsidR="00D84849" w:rsidRPr="00D84849" w:rsidTr="00D84849">
        <w:trPr>
          <w:trHeight w:val="315"/>
          <w:tblCellSpacing w:w="0" w:type="dxa"/>
        </w:trPr>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0 -- 0</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b/>
                <w:bCs/>
                <w:szCs w:val="24"/>
              </w:rPr>
              <w:t>}</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Novice</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3 - 3+</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r>
      <w:tr w:rsidR="00D84849" w:rsidRPr="00D84849" w:rsidTr="00D84849">
        <w:trPr>
          <w:trHeight w:val="315"/>
          <w:tblCellSpacing w:w="0" w:type="dxa"/>
        </w:trPr>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1 -- 1+</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b/>
                <w:bCs/>
                <w:szCs w:val="24"/>
              </w:rPr>
              <w:t>}</w:t>
            </w:r>
          </w:p>
        </w:tc>
        <w:tc>
          <w:tcPr>
            <w:tcW w:w="0" w:type="auto"/>
            <w:gridSpan w:val="2"/>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Intermediate</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4 - 4+</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Superior</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r>
      <w:tr w:rsidR="00D84849" w:rsidRPr="00D84849" w:rsidTr="00D84849">
        <w:trPr>
          <w:trHeight w:val="315"/>
          <w:tblCellSpacing w:w="0" w:type="dxa"/>
        </w:trPr>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2 -- 2+</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b/>
                <w:bCs/>
                <w:szCs w:val="24"/>
              </w:rPr>
              <w:t>}</w:t>
            </w:r>
          </w:p>
        </w:tc>
        <w:tc>
          <w:tcPr>
            <w:tcW w:w="0" w:type="auto"/>
            <w:gridSpan w:val="2"/>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Advanced</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5</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r>
      <w:tr w:rsidR="00D84849" w:rsidRPr="00D84849" w:rsidTr="00D84849">
        <w:trPr>
          <w:trHeight w:val="315"/>
          <w:tblCellSpacing w:w="0" w:type="dxa"/>
        </w:trPr>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before="100" w:beforeAutospacing="1" w:after="100" w:afterAutospacing="1"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 </w:t>
            </w:r>
          </w:p>
          <w:p w:rsidR="00D84849" w:rsidRPr="00D84849" w:rsidRDefault="00D84849" w:rsidP="00D84849">
            <w:pPr>
              <w:spacing w:before="100" w:beforeAutospacing="1" w:after="100" w:afterAutospacing="1"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 </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before="100" w:beforeAutospacing="1" w:after="100" w:afterAutospacing="1"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 </w:t>
            </w:r>
          </w:p>
          <w:p w:rsidR="00D84849" w:rsidRPr="00D84849" w:rsidRDefault="00D84849" w:rsidP="00D84849">
            <w:pPr>
              <w:spacing w:before="100" w:beforeAutospacing="1" w:after="100" w:afterAutospacing="1"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 </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r>
      <w:tr w:rsidR="00D84849" w:rsidRPr="00D84849" w:rsidTr="00D84849">
        <w:trPr>
          <w:trHeight w:val="315"/>
          <w:tblCellSpacing w:w="0" w:type="dxa"/>
        </w:trPr>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b/>
                <w:bCs/>
                <w:szCs w:val="24"/>
              </w:rPr>
              <w:t>1</w:t>
            </w:r>
          </w:p>
        </w:tc>
        <w:tc>
          <w:tcPr>
            <w:tcW w:w="0" w:type="auto"/>
            <w:gridSpan w:val="3"/>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b/>
                <w:bCs/>
                <w:szCs w:val="24"/>
              </w:rPr>
              <w:t>Global Tasks / Functions</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r>
      <w:tr w:rsidR="00D84849" w:rsidRPr="00D84849" w:rsidTr="00D84849">
        <w:trPr>
          <w:trHeight w:val="330"/>
          <w:tblCellSpacing w:w="0" w:type="dxa"/>
        </w:trPr>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tcBorders>
              <w:bottom w:val="single" w:sz="8" w:space="0" w:color="auto"/>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b/>
                <w:bCs/>
                <w:szCs w:val="24"/>
              </w:rPr>
              <w:t>0</w:t>
            </w:r>
          </w:p>
        </w:tc>
        <w:tc>
          <w:tcPr>
            <w:tcW w:w="0" w:type="auto"/>
            <w:tcBorders>
              <w:bottom w:val="single" w:sz="8" w:space="0" w:color="auto"/>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b/>
                <w:bCs/>
                <w:szCs w:val="24"/>
              </w:rPr>
              <w:t>0+</w:t>
            </w:r>
          </w:p>
        </w:tc>
        <w:tc>
          <w:tcPr>
            <w:tcW w:w="0" w:type="auto"/>
            <w:tcBorders>
              <w:bottom w:val="single" w:sz="8" w:space="0" w:color="auto"/>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b/>
                <w:bCs/>
                <w:szCs w:val="24"/>
              </w:rPr>
              <w:t>1</w:t>
            </w:r>
          </w:p>
        </w:tc>
        <w:tc>
          <w:tcPr>
            <w:tcW w:w="0" w:type="auto"/>
            <w:tcBorders>
              <w:bottom w:val="single" w:sz="8" w:space="0" w:color="auto"/>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b/>
                <w:bCs/>
                <w:szCs w:val="24"/>
              </w:rPr>
              <w:t>1+</w:t>
            </w:r>
          </w:p>
        </w:tc>
        <w:tc>
          <w:tcPr>
            <w:tcW w:w="0" w:type="auto"/>
            <w:tcBorders>
              <w:bottom w:val="single" w:sz="8" w:space="0" w:color="auto"/>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b/>
                <w:bCs/>
                <w:szCs w:val="24"/>
              </w:rPr>
              <w:t>2</w:t>
            </w:r>
          </w:p>
        </w:tc>
        <w:tc>
          <w:tcPr>
            <w:tcW w:w="0" w:type="auto"/>
            <w:tcBorders>
              <w:bottom w:val="single" w:sz="8" w:space="0" w:color="auto"/>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b/>
                <w:bCs/>
                <w:szCs w:val="24"/>
              </w:rPr>
              <w:t>2+</w:t>
            </w:r>
          </w:p>
        </w:tc>
      </w:tr>
      <w:tr w:rsidR="00D84849" w:rsidRPr="00D84849" w:rsidTr="00D84849">
        <w:trPr>
          <w:trHeight w:val="315"/>
          <w:tblCellSpacing w:w="0" w:type="dxa"/>
        </w:trPr>
        <w:tc>
          <w:tcPr>
            <w:tcW w:w="0" w:type="auto"/>
            <w:gridSpan w:val="2"/>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French 301</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4</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6</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3</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r>
      <w:tr w:rsidR="00D84849" w:rsidRPr="00D84849" w:rsidTr="00D84849">
        <w:trPr>
          <w:trHeight w:val="315"/>
          <w:tblCellSpacing w:w="0" w:type="dxa"/>
        </w:trPr>
        <w:tc>
          <w:tcPr>
            <w:tcW w:w="0" w:type="auto"/>
            <w:gridSpan w:val="2"/>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German 301</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1</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8</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3</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1</w:t>
            </w:r>
          </w:p>
        </w:tc>
      </w:tr>
      <w:tr w:rsidR="00D84849" w:rsidRPr="00D84849" w:rsidTr="00D84849">
        <w:trPr>
          <w:trHeight w:val="315"/>
          <w:tblCellSpacing w:w="0" w:type="dxa"/>
        </w:trPr>
        <w:tc>
          <w:tcPr>
            <w:tcW w:w="0" w:type="auto"/>
            <w:gridSpan w:val="2"/>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Spanish 301.1</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4</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6</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2</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r>
      <w:tr w:rsidR="00D84849" w:rsidRPr="00D84849" w:rsidTr="00D84849">
        <w:trPr>
          <w:trHeight w:val="315"/>
          <w:tblCellSpacing w:w="0" w:type="dxa"/>
        </w:trPr>
        <w:tc>
          <w:tcPr>
            <w:tcW w:w="0" w:type="auto"/>
            <w:gridSpan w:val="2"/>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Spanish 301.2</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1</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4</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9</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r>
      <w:tr w:rsidR="00D84849" w:rsidRPr="00D84849" w:rsidTr="00D84849">
        <w:trPr>
          <w:trHeight w:val="315"/>
          <w:tblCellSpacing w:w="0" w:type="dxa"/>
        </w:trPr>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r>
      <w:tr w:rsidR="00D84849" w:rsidRPr="00D84849" w:rsidTr="00D84849">
        <w:trPr>
          <w:trHeight w:val="315"/>
          <w:tblCellSpacing w:w="0" w:type="dxa"/>
        </w:trPr>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r>
      <w:tr w:rsidR="00D84849" w:rsidRPr="00D84849" w:rsidTr="00D84849">
        <w:trPr>
          <w:trHeight w:val="315"/>
          <w:tblCellSpacing w:w="0" w:type="dxa"/>
        </w:trPr>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b/>
                <w:bCs/>
                <w:szCs w:val="24"/>
              </w:rPr>
              <w:t>2</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b/>
                <w:bCs/>
                <w:szCs w:val="24"/>
              </w:rPr>
              <w:t>Context</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r>
      <w:tr w:rsidR="00D84849" w:rsidRPr="00D84849" w:rsidTr="00D84849">
        <w:trPr>
          <w:trHeight w:val="330"/>
          <w:tblCellSpacing w:w="0" w:type="dxa"/>
        </w:trPr>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tcBorders>
              <w:bottom w:val="single" w:sz="8" w:space="0" w:color="auto"/>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b/>
                <w:bCs/>
                <w:szCs w:val="24"/>
              </w:rPr>
              <w:t>0</w:t>
            </w:r>
          </w:p>
        </w:tc>
        <w:tc>
          <w:tcPr>
            <w:tcW w:w="0" w:type="auto"/>
            <w:tcBorders>
              <w:bottom w:val="single" w:sz="8" w:space="0" w:color="auto"/>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b/>
                <w:bCs/>
                <w:szCs w:val="24"/>
              </w:rPr>
              <w:t>0+</w:t>
            </w:r>
          </w:p>
        </w:tc>
        <w:tc>
          <w:tcPr>
            <w:tcW w:w="0" w:type="auto"/>
            <w:tcBorders>
              <w:bottom w:val="single" w:sz="8" w:space="0" w:color="auto"/>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b/>
                <w:bCs/>
                <w:szCs w:val="24"/>
              </w:rPr>
              <w:t>1</w:t>
            </w:r>
          </w:p>
        </w:tc>
        <w:tc>
          <w:tcPr>
            <w:tcW w:w="0" w:type="auto"/>
            <w:tcBorders>
              <w:bottom w:val="single" w:sz="8" w:space="0" w:color="auto"/>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b/>
                <w:bCs/>
                <w:szCs w:val="24"/>
              </w:rPr>
              <w:t>1+</w:t>
            </w:r>
          </w:p>
        </w:tc>
        <w:tc>
          <w:tcPr>
            <w:tcW w:w="0" w:type="auto"/>
            <w:tcBorders>
              <w:bottom w:val="single" w:sz="8" w:space="0" w:color="auto"/>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b/>
                <w:bCs/>
                <w:szCs w:val="24"/>
              </w:rPr>
              <w:t>2</w:t>
            </w:r>
          </w:p>
        </w:tc>
        <w:tc>
          <w:tcPr>
            <w:tcW w:w="0" w:type="auto"/>
            <w:tcBorders>
              <w:bottom w:val="single" w:sz="8" w:space="0" w:color="auto"/>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b/>
                <w:bCs/>
                <w:szCs w:val="24"/>
              </w:rPr>
              <w:t>2+</w:t>
            </w:r>
          </w:p>
        </w:tc>
      </w:tr>
      <w:tr w:rsidR="00D84849" w:rsidRPr="00D84849" w:rsidTr="00D84849">
        <w:trPr>
          <w:trHeight w:val="315"/>
          <w:tblCellSpacing w:w="0" w:type="dxa"/>
        </w:trPr>
        <w:tc>
          <w:tcPr>
            <w:tcW w:w="0" w:type="auto"/>
            <w:gridSpan w:val="2"/>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French 301</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2</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4</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4</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3</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r>
      <w:tr w:rsidR="00D84849" w:rsidRPr="00D84849" w:rsidTr="00D84849">
        <w:trPr>
          <w:trHeight w:val="315"/>
          <w:tblCellSpacing w:w="0" w:type="dxa"/>
        </w:trPr>
        <w:tc>
          <w:tcPr>
            <w:tcW w:w="0" w:type="auto"/>
            <w:gridSpan w:val="2"/>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German 301</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1</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6</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5</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1</w:t>
            </w:r>
          </w:p>
        </w:tc>
      </w:tr>
      <w:tr w:rsidR="00D84849" w:rsidRPr="00D84849" w:rsidTr="00D84849">
        <w:trPr>
          <w:trHeight w:val="315"/>
          <w:tblCellSpacing w:w="0" w:type="dxa"/>
        </w:trPr>
        <w:tc>
          <w:tcPr>
            <w:tcW w:w="0" w:type="auto"/>
            <w:gridSpan w:val="2"/>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Spanish 301.1</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4</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6</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2</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r>
      <w:tr w:rsidR="00D84849" w:rsidRPr="00D84849" w:rsidTr="00D84849">
        <w:trPr>
          <w:trHeight w:val="315"/>
          <w:tblCellSpacing w:w="0" w:type="dxa"/>
        </w:trPr>
        <w:tc>
          <w:tcPr>
            <w:tcW w:w="0" w:type="auto"/>
            <w:gridSpan w:val="2"/>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Spanish 301.2</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1</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6</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7</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r>
      <w:tr w:rsidR="00D84849" w:rsidRPr="00D84849" w:rsidTr="00D84849">
        <w:trPr>
          <w:trHeight w:val="315"/>
          <w:tblCellSpacing w:w="0" w:type="dxa"/>
        </w:trPr>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r>
      <w:tr w:rsidR="00D84849" w:rsidRPr="00D84849" w:rsidTr="00D84849">
        <w:trPr>
          <w:trHeight w:val="315"/>
          <w:tblCellSpacing w:w="0" w:type="dxa"/>
        </w:trPr>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r>
      <w:tr w:rsidR="00D84849" w:rsidRPr="00D84849" w:rsidTr="00D84849">
        <w:trPr>
          <w:trHeight w:val="315"/>
          <w:tblCellSpacing w:w="0" w:type="dxa"/>
        </w:trPr>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b/>
                <w:bCs/>
                <w:szCs w:val="24"/>
              </w:rPr>
              <w:t>3</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b/>
                <w:bCs/>
                <w:szCs w:val="24"/>
              </w:rPr>
              <w:t>Content</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r>
      <w:tr w:rsidR="00D84849" w:rsidRPr="00D84849" w:rsidTr="00D84849">
        <w:trPr>
          <w:trHeight w:val="330"/>
          <w:tblCellSpacing w:w="0" w:type="dxa"/>
        </w:trPr>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tcBorders>
              <w:bottom w:val="single" w:sz="8" w:space="0" w:color="auto"/>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b/>
                <w:bCs/>
                <w:szCs w:val="24"/>
              </w:rPr>
              <w:t>0</w:t>
            </w:r>
          </w:p>
        </w:tc>
        <w:tc>
          <w:tcPr>
            <w:tcW w:w="0" w:type="auto"/>
            <w:tcBorders>
              <w:bottom w:val="single" w:sz="8" w:space="0" w:color="auto"/>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b/>
                <w:bCs/>
                <w:szCs w:val="24"/>
              </w:rPr>
              <w:t>0+</w:t>
            </w:r>
          </w:p>
        </w:tc>
        <w:tc>
          <w:tcPr>
            <w:tcW w:w="0" w:type="auto"/>
            <w:tcBorders>
              <w:bottom w:val="single" w:sz="8" w:space="0" w:color="auto"/>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b/>
                <w:bCs/>
                <w:szCs w:val="24"/>
              </w:rPr>
              <w:t>1</w:t>
            </w:r>
          </w:p>
        </w:tc>
        <w:tc>
          <w:tcPr>
            <w:tcW w:w="0" w:type="auto"/>
            <w:tcBorders>
              <w:bottom w:val="single" w:sz="8" w:space="0" w:color="auto"/>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b/>
                <w:bCs/>
                <w:szCs w:val="24"/>
              </w:rPr>
              <w:t>1+</w:t>
            </w:r>
          </w:p>
        </w:tc>
        <w:tc>
          <w:tcPr>
            <w:tcW w:w="0" w:type="auto"/>
            <w:tcBorders>
              <w:bottom w:val="single" w:sz="8" w:space="0" w:color="auto"/>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b/>
                <w:bCs/>
                <w:szCs w:val="24"/>
              </w:rPr>
              <w:t>2</w:t>
            </w:r>
          </w:p>
        </w:tc>
        <w:tc>
          <w:tcPr>
            <w:tcW w:w="0" w:type="auto"/>
            <w:tcBorders>
              <w:bottom w:val="single" w:sz="8" w:space="0" w:color="auto"/>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b/>
                <w:bCs/>
                <w:szCs w:val="24"/>
              </w:rPr>
              <w:t>2+</w:t>
            </w:r>
          </w:p>
        </w:tc>
      </w:tr>
      <w:tr w:rsidR="00D84849" w:rsidRPr="00D84849" w:rsidTr="00D84849">
        <w:trPr>
          <w:trHeight w:val="315"/>
          <w:tblCellSpacing w:w="0" w:type="dxa"/>
        </w:trPr>
        <w:tc>
          <w:tcPr>
            <w:tcW w:w="0" w:type="auto"/>
            <w:gridSpan w:val="2"/>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French 301</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2</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4</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3</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3</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1</w:t>
            </w:r>
          </w:p>
        </w:tc>
      </w:tr>
      <w:tr w:rsidR="00D84849" w:rsidRPr="00D84849" w:rsidTr="00D84849">
        <w:trPr>
          <w:trHeight w:val="315"/>
          <w:tblCellSpacing w:w="0" w:type="dxa"/>
        </w:trPr>
        <w:tc>
          <w:tcPr>
            <w:tcW w:w="0" w:type="auto"/>
            <w:gridSpan w:val="2"/>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German 301</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2</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5</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5</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1</w:t>
            </w:r>
          </w:p>
        </w:tc>
      </w:tr>
      <w:tr w:rsidR="00D84849" w:rsidRPr="00D84849" w:rsidTr="00D84849">
        <w:trPr>
          <w:trHeight w:val="315"/>
          <w:tblCellSpacing w:w="0" w:type="dxa"/>
        </w:trPr>
        <w:tc>
          <w:tcPr>
            <w:tcW w:w="0" w:type="auto"/>
            <w:gridSpan w:val="2"/>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Spanish 301.1</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5</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3</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3</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1</w:t>
            </w:r>
          </w:p>
        </w:tc>
      </w:tr>
      <w:tr w:rsidR="00D84849" w:rsidRPr="00D84849" w:rsidTr="00D84849">
        <w:trPr>
          <w:trHeight w:val="315"/>
          <w:tblCellSpacing w:w="0" w:type="dxa"/>
        </w:trPr>
        <w:tc>
          <w:tcPr>
            <w:tcW w:w="0" w:type="auto"/>
            <w:gridSpan w:val="2"/>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Spanish 301.2</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3</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11</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r>
      <w:tr w:rsidR="00D84849" w:rsidRPr="00D84849" w:rsidTr="00D84849">
        <w:trPr>
          <w:trHeight w:val="315"/>
          <w:tblCellSpacing w:w="0" w:type="dxa"/>
        </w:trPr>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r>
      <w:tr w:rsidR="00D84849" w:rsidRPr="00D84849" w:rsidTr="00D84849">
        <w:trPr>
          <w:trHeight w:val="315"/>
          <w:tblCellSpacing w:w="0" w:type="dxa"/>
        </w:trPr>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r>
      <w:tr w:rsidR="00D84849" w:rsidRPr="00D84849" w:rsidTr="00D84849">
        <w:trPr>
          <w:trHeight w:val="315"/>
          <w:tblCellSpacing w:w="0" w:type="dxa"/>
        </w:trPr>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b/>
                <w:bCs/>
                <w:szCs w:val="24"/>
              </w:rPr>
              <w:t>4</w:t>
            </w:r>
          </w:p>
        </w:tc>
        <w:tc>
          <w:tcPr>
            <w:tcW w:w="0" w:type="auto"/>
            <w:gridSpan w:val="2"/>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b/>
                <w:bCs/>
                <w:szCs w:val="24"/>
              </w:rPr>
              <w:t>Accuracy</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r>
      <w:tr w:rsidR="00D84849" w:rsidRPr="00D84849" w:rsidTr="00D84849">
        <w:trPr>
          <w:trHeight w:val="330"/>
          <w:tblCellSpacing w:w="0" w:type="dxa"/>
        </w:trPr>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tcBorders>
              <w:bottom w:val="single" w:sz="8" w:space="0" w:color="auto"/>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b/>
                <w:bCs/>
                <w:szCs w:val="24"/>
              </w:rPr>
              <w:t>0</w:t>
            </w:r>
          </w:p>
        </w:tc>
        <w:tc>
          <w:tcPr>
            <w:tcW w:w="0" w:type="auto"/>
            <w:tcBorders>
              <w:bottom w:val="single" w:sz="8" w:space="0" w:color="auto"/>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b/>
                <w:bCs/>
                <w:szCs w:val="24"/>
              </w:rPr>
              <w:t>0+</w:t>
            </w:r>
          </w:p>
        </w:tc>
        <w:tc>
          <w:tcPr>
            <w:tcW w:w="0" w:type="auto"/>
            <w:tcBorders>
              <w:bottom w:val="single" w:sz="8" w:space="0" w:color="auto"/>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b/>
                <w:bCs/>
                <w:szCs w:val="24"/>
              </w:rPr>
              <w:t>1</w:t>
            </w:r>
          </w:p>
        </w:tc>
        <w:tc>
          <w:tcPr>
            <w:tcW w:w="0" w:type="auto"/>
            <w:tcBorders>
              <w:bottom w:val="single" w:sz="8" w:space="0" w:color="auto"/>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b/>
                <w:bCs/>
                <w:szCs w:val="24"/>
              </w:rPr>
              <w:t>1+</w:t>
            </w:r>
          </w:p>
        </w:tc>
        <w:tc>
          <w:tcPr>
            <w:tcW w:w="0" w:type="auto"/>
            <w:tcBorders>
              <w:bottom w:val="single" w:sz="8" w:space="0" w:color="auto"/>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b/>
                <w:bCs/>
                <w:szCs w:val="24"/>
              </w:rPr>
              <w:t>2</w:t>
            </w:r>
          </w:p>
        </w:tc>
        <w:tc>
          <w:tcPr>
            <w:tcW w:w="0" w:type="auto"/>
            <w:tcBorders>
              <w:bottom w:val="single" w:sz="8" w:space="0" w:color="auto"/>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b/>
                <w:bCs/>
                <w:szCs w:val="24"/>
              </w:rPr>
              <w:t>2+</w:t>
            </w:r>
          </w:p>
        </w:tc>
      </w:tr>
      <w:tr w:rsidR="00D84849" w:rsidRPr="00D84849" w:rsidTr="00D84849">
        <w:trPr>
          <w:trHeight w:val="315"/>
          <w:tblCellSpacing w:w="0" w:type="dxa"/>
        </w:trPr>
        <w:tc>
          <w:tcPr>
            <w:tcW w:w="0" w:type="auto"/>
            <w:gridSpan w:val="2"/>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French 301</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4</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2</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2</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4</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r>
      <w:tr w:rsidR="00D84849" w:rsidRPr="00D84849" w:rsidTr="00D84849">
        <w:trPr>
          <w:trHeight w:val="315"/>
          <w:tblCellSpacing w:w="0" w:type="dxa"/>
        </w:trPr>
        <w:tc>
          <w:tcPr>
            <w:tcW w:w="0" w:type="auto"/>
            <w:gridSpan w:val="2"/>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German 301</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2</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4</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6</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1</w:t>
            </w:r>
          </w:p>
        </w:tc>
      </w:tr>
      <w:tr w:rsidR="00D84849" w:rsidRPr="00D84849" w:rsidTr="00D84849">
        <w:trPr>
          <w:trHeight w:val="315"/>
          <w:tblCellSpacing w:w="0" w:type="dxa"/>
        </w:trPr>
        <w:tc>
          <w:tcPr>
            <w:tcW w:w="0" w:type="auto"/>
            <w:gridSpan w:val="2"/>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Spanish 301.1</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6</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4</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r>
      <w:tr w:rsidR="00D84849" w:rsidRPr="00D84849" w:rsidTr="00D84849">
        <w:trPr>
          <w:trHeight w:val="315"/>
          <w:tblCellSpacing w:w="0" w:type="dxa"/>
        </w:trPr>
        <w:tc>
          <w:tcPr>
            <w:tcW w:w="0" w:type="auto"/>
            <w:gridSpan w:val="2"/>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Spanish 301.2</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2</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7</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4</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1</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r>
      <w:tr w:rsidR="00D84849" w:rsidRPr="00D84849" w:rsidTr="00D84849">
        <w:trPr>
          <w:trHeight w:val="315"/>
          <w:tblCellSpacing w:w="0" w:type="dxa"/>
        </w:trPr>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r>
      <w:tr w:rsidR="00D84849" w:rsidRPr="00D84849" w:rsidTr="00D84849">
        <w:trPr>
          <w:trHeight w:val="315"/>
          <w:tblCellSpacing w:w="0" w:type="dxa"/>
        </w:trPr>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b/>
                <w:bCs/>
                <w:szCs w:val="24"/>
              </w:rPr>
              <w:t>5</w:t>
            </w:r>
          </w:p>
        </w:tc>
        <w:tc>
          <w:tcPr>
            <w:tcW w:w="0" w:type="auto"/>
            <w:gridSpan w:val="2"/>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b/>
                <w:bCs/>
                <w:szCs w:val="24"/>
              </w:rPr>
              <w:t>Text Type</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r>
      <w:tr w:rsidR="00D84849" w:rsidRPr="00D84849" w:rsidTr="00D84849">
        <w:trPr>
          <w:trHeight w:val="330"/>
          <w:tblCellSpacing w:w="0" w:type="dxa"/>
        </w:trPr>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tcBorders>
              <w:bottom w:val="single" w:sz="8" w:space="0" w:color="auto"/>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b/>
                <w:bCs/>
                <w:szCs w:val="24"/>
              </w:rPr>
              <w:t>0</w:t>
            </w:r>
          </w:p>
        </w:tc>
        <w:tc>
          <w:tcPr>
            <w:tcW w:w="0" w:type="auto"/>
            <w:tcBorders>
              <w:bottom w:val="single" w:sz="8" w:space="0" w:color="auto"/>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b/>
                <w:bCs/>
                <w:szCs w:val="24"/>
              </w:rPr>
              <w:t>0+</w:t>
            </w:r>
          </w:p>
        </w:tc>
        <w:tc>
          <w:tcPr>
            <w:tcW w:w="0" w:type="auto"/>
            <w:tcBorders>
              <w:bottom w:val="single" w:sz="8" w:space="0" w:color="auto"/>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b/>
                <w:bCs/>
                <w:szCs w:val="24"/>
              </w:rPr>
              <w:t>1</w:t>
            </w:r>
          </w:p>
        </w:tc>
        <w:tc>
          <w:tcPr>
            <w:tcW w:w="0" w:type="auto"/>
            <w:tcBorders>
              <w:bottom w:val="single" w:sz="8" w:space="0" w:color="auto"/>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b/>
                <w:bCs/>
                <w:szCs w:val="24"/>
              </w:rPr>
              <w:t>1+</w:t>
            </w:r>
          </w:p>
        </w:tc>
        <w:tc>
          <w:tcPr>
            <w:tcW w:w="0" w:type="auto"/>
            <w:tcBorders>
              <w:bottom w:val="single" w:sz="8" w:space="0" w:color="auto"/>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b/>
                <w:bCs/>
                <w:szCs w:val="24"/>
              </w:rPr>
              <w:t>2</w:t>
            </w:r>
          </w:p>
        </w:tc>
        <w:tc>
          <w:tcPr>
            <w:tcW w:w="0" w:type="auto"/>
            <w:tcBorders>
              <w:bottom w:val="single" w:sz="8" w:space="0" w:color="auto"/>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b/>
                <w:bCs/>
                <w:szCs w:val="24"/>
              </w:rPr>
              <w:t>2+</w:t>
            </w:r>
          </w:p>
        </w:tc>
      </w:tr>
      <w:tr w:rsidR="00D84849" w:rsidRPr="00D84849" w:rsidTr="00D84849">
        <w:trPr>
          <w:trHeight w:val="315"/>
          <w:tblCellSpacing w:w="0" w:type="dxa"/>
        </w:trPr>
        <w:tc>
          <w:tcPr>
            <w:tcW w:w="0" w:type="auto"/>
            <w:gridSpan w:val="2"/>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French 301</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6</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6</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1</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r>
      <w:tr w:rsidR="00D84849" w:rsidRPr="00D84849" w:rsidTr="00D84849">
        <w:trPr>
          <w:trHeight w:val="315"/>
          <w:tblCellSpacing w:w="0" w:type="dxa"/>
        </w:trPr>
        <w:tc>
          <w:tcPr>
            <w:tcW w:w="0" w:type="auto"/>
            <w:gridSpan w:val="2"/>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German 301</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1</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7</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4</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1</w:t>
            </w:r>
          </w:p>
        </w:tc>
      </w:tr>
      <w:tr w:rsidR="00D84849" w:rsidRPr="00D84849" w:rsidTr="00D84849">
        <w:trPr>
          <w:trHeight w:val="315"/>
          <w:tblCellSpacing w:w="0" w:type="dxa"/>
        </w:trPr>
        <w:tc>
          <w:tcPr>
            <w:tcW w:w="0" w:type="auto"/>
            <w:gridSpan w:val="2"/>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Spanish 301.1</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2</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7</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3</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r>
      <w:tr w:rsidR="00D84849" w:rsidRPr="00D84849" w:rsidTr="00D84849">
        <w:trPr>
          <w:trHeight w:val="315"/>
          <w:tblCellSpacing w:w="0" w:type="dxa"/>
        </w:trPr>
        <w:tc>
          <w:tcPr>
            <w:tcW w:w="0" w:type="auto"/>
            <w:gridSpan w:val="2"/>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Spanish 301.2</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5</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4</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5</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r>
      <w:tr w:rsidR="00D84849" w:rsidRPr="00D84849" w:rsidTr="00D84849">
        <w:trPr>
          <w:trHeight w:val="315"/>
          <w:tblCellSpacing w:w="0" w:type="dxa"/>
        </w:trPr>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r>
    </w:tbl>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 </w:t>
      </w:r>
    </w:p>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 </w:t>
      </w:r>
    </w:p>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 </w:t>
      </w:r>
    </w:p>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pict>
          <v:rect id="_x0000_i1028" style="width:0;height:1.5pt" o:hralign="center" o:hrstd="t" o:hr="t" fillcolor="gray" stroked="f"/>
        </w:pict>
      </w:r>
    </w:p>
    <w:p w:rsidR="00D84849" w:rsidRPr="00D84849" w:rsidRDefault="00D84849" w:rsidP="00D84849">
      <w:pPr>
        <w:spacing w:after="0" w:line="240" w:lineRule="auto"/>
        <w:rPr>
          <w:rFonts w:ascii="Times New Roman" w:eastAsia="Times New Roman" w:hAnsi="Times New Roman" w:cs="Times New Roman"/>
          <w:szCs w:val="24"/>
        </w:rPr>
      </w:pPr>
    </w:p>
    <w:p w:rsidR="00D84849" w:rsidRDefault="00D84849" w:rsidP="00D84849">
      <w:pPr>
        <w:spacing w:before="100" w:beforeAutospacing="1" w:after="100" w:afterAutospacing="1" w:line="240" w:lineRule="auto"/>
        <w:outlineLvl w:val="2"/>
        <w:rPr>
          <w:rFonts w:ascii="Times New Roman" w:eastAsia="Times New Roman" w:hAnsi="Times New Roman" w:cs="Times New Roman"/>
          <w:b/>
          <w:bCs/>
          <w:szCs w:val="24"/>
        </w:rPr>
      </w:pPr>
    </w:p>
    <w:p w:rsidR="00D84849" w:rsidRDefault="00D84849" w:rsidP="00D84849">
      <w:pPr>
        <w:spacing w:before="100" w:beforeAutospacing="1" w:after="100" w:afterAutospacing="1" w:line="240" w:lineRule="auto"/>
        <w:outlineLvl w:val="2"/>
        <w:rPr>
          <w:rFonts w:ascii="Times New Roman" w:eastAsia="Times New Roman" w:hAnsi="Times New Roman" w:cs="Times New Roman"/>
          <w:b/>
          <w:bCs/>
          <w:szCs w:val="24"/>
        </w:rPr>
      </w:pPr>
    </w:p>
    <w:p w:rsidR="00D84849" w:rsidRDefault="00D84849" w:rsidP="00D84849">
      <w:pPr>
        <w:spacing w:before="100" w:beforeAutospacing="1" w:after="100" w:afterAutospacing="1" w:line="240" w:lineRule="auto"/>
        <w:outlineLvl w:val="2"/>
        <w:rPr>
          <w:rFonts w:ascii="Times New Roman" w:eastAsia="Times New Roman" w:hAnsi="Times New Roman" w:cs="Times New Roman"/>
          <w:b/>
          <w:bCs/>
          <w:szCs w:val="24"/>
        </w:rPr>
      </w:pPr>
    </w:p>
    <w:p w:rsidR="00D84849" w:rsidRDefault="00D84849" w:rsidP="00D84849">
      <w:pPr>
        <w:spacing w:before="100" w:beforeAutospacing="1" w:after="100" w:afterAutospacing="1" w:line="240" w:lineRule="auto"/>
        <w:outlineLvl w:val="2"/>
        <w:rPr>
          <w:rFonts w:ascii="Times New Roman" w:eastAsia="Times New Roman" w:hAnsi="Times New Roman" w:cs="Times New Roman"/>
          <w:b/>
          <w:bCs/>
          <w:szCs w:val="24"/>
        </w:rPr>
      </w:pPr>
    </w:p>
    <w:p w:rsidR="00D84849" w:rsidRDefault="00D84849" w:rsidP="00D84849">
      <w:pPr>
        <w:spacing w:before="100" w:beforeAutospacing="1" w:after="100" w:afterAutospacing="1" w:line="240" w:lineRule="auto"/>
        <w:outlineLvl w:val="2"/>
        <w:rPr>
          <w:rFonts w:ascii="Times New Roman" w:eastAsia="Times New Roman" w:hAnsi="Times New Roman" w:cs="Times New Roman"/>
          <w:b/>
          <w:bCs/>
          <w:szCs w:val="24"/>
        </w:rPr>
      </w:pPr>
    </w:p>
    <w:p w:rsidR="00D84849" w:rsidRDefault="00D84849" w:rsidP="00D84849">
      <w:pPr>
        <w:spacing w:before="100" w:beforeAutospacing="1" w:after="100" w:afterAutospacing="1" w:line="240" w:lineRule="auto"/>
        <w:outlineLvl w:val="2"/>
        <w:rPr>
          <w:rFonts w:ascii="Times New Roman" w:eastAsia="Times New Roman" w:hAnsi="Times New Roman" w:cs="Times New Roman"/>
          <w:b/>
          <w:bCs/>
          <w:szCs w:val="24"/>
        </w:rPr>
      </w:pPr>
    </w:p>
    <w:p w:rsidR="00D84849" w:rsidRDefault="00D84849" w:rsidP="00D84849">
      <w:pPr>
        <w:spacing w:before="100" w:beforeAutospacing="1" w:after="100" w:afterAutospacing="1" w:line="240" w:lineRule="auto"/>
        <w:outlineLvl w:val="2"/>
        <w:rPr>
          <w:rFonts w:ascii="Times New Roman" w:eastAsia="Times New Roman" w:hAnsi="Times New Roman" w:cs="Times New Roman"/>
          <w:b/>
          <w:bCs/>
          <w:szCs w:val="24"/>
        </w:rPr>
      </w:pPr>
    </w:p>
    <w:p w:rsidR="00D84849" w:rsidRPr="00D84849" w:rsidRDefault="00D84849" w:rsidP="00D84849">
      <w:pPr>
        <w:spacing w:before="100" w:beforeAutospacing="1" w:after="100" w:afterAutospacing="1" w:line="240" w:lineRule="auto"/>
        <w:outlineLvl w:val="2"/>
        <w:rPr>
          <w:rFonts w:ascii="Times New Roman" w:eastAsia="Times New Roman" w:hAnsi="Times New Roman" w:cs="Times New Roman"/>
          <w:b/>
          <w:bCs/>
          <w:szCs w:val="24"/>
        </w:rPr>
      </w:pPr>
      <w:r w:rsidRPr="00D84849">
        <w:rPr>
          <w:rFonts w:ascii="Times New Roman" w:eastAsia="Times New Roman" w:hAnsi="Times New Roman" w:cs="Times New Roman"/>
          <w:b/>
          <w:bCs/>
          <w:szCs w:val="24"/>
        </w:rPr>
        <w:lastRenderedPageBreak/>
        <w:t>Step 6: How will the data collected be used for decision-making, strategic planning, etc. (Due October 1, 2009 with preliminary data; due November 2, 2009 with final data for this assessment cycle)</w:t>
      </w:r>
    </w:p>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 </w:t>
      </w:r>
    </w:p>
    <w:tbl>
      <w:tblPr>
        <w:tblW w:w="12480" w:type="dxa"/>
        <w:tblCellSpacing w:w="0" w:type="dxa"/>
        <w:tblCellMar>
          <w:left w:w="0" w:type="dxa"/>
          <w:right w:w="0" w:type="dxa"/>
        </w:tblCellMar>
        <w:tblLook w:val="04A0"/>
      </w:tblPr>
      <w:tblGrid>
        <w:gridCol w:w="1170"/>
        <w:gridCol w:w="16"/>
        <w:gridCol w:w="161"/>
        <w:gridCol w:w="1595"/>
        <w:gridCol w:w="898"/>
        <w:gridCol w:w="960"/>
        <w:gridCol w:w="960"/>
        <w:gridCol w:w="960"/>
        <w:gridCol w:w="960"/>
        <w:gridCol w:w="960"/>
        <w:gridCol w:w="960"/>
        <w:gridCol w:w="960"/>
        <w:gridCol w:w="960"/>
        <w:gridCol w:w="960"/>
      </w:tblGrid>
      <w:tr w:rsidR="00D84849" w:rsidRPr="00D84849" w:rsidTr="00D84849">
        <w:trPr>
          <w:trHeight w:val="300"/>
          <w:tblCellSpacing w:w="0" w:type="dxa"/>
        </w:trPr>
        <w:tc>
          <w:tcPr>
            <w:tcW w:w="1170" w:type="dxa"/>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2670" w:type="dxa"/>
            <w:gridSpan w:val="4"/>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Assessment Scale:</w:t>
            </w:r>
          </w:p>
        </w:tc>
        <w:tc>
          <w:tcPr>
            <w:tcW w:w="960" w:type="dxa"/>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960" w:type="dxa"/>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960" w:type="dxa"/>
            <w:shd w:val="clear" w:color="auto" w:fill="auto"/>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 xml:space="preserve">Bitmap </w:t>
            </w:r>
          </w:p>
          <w:tbl>
            <w:tblPr>
              <w:tblW w:w="0" w:type="auto"/>
              <w:tblCellSpacing w:w="0" w:type="dxa"/>
              <w:tblCellMar>
                <w:left w:w="0" w:type="dxa"/>
                <w:right w:w="0" w:type="dxa"/>
              </w:tblCellMar>
              <w:tblLook w:val="04A0"/>
            </w:tblPr>
            <w:tblGrid>
              <w:gridCol w:w="960"/>
            </w:tblGrid>
            <w:tr w:rsidR="00D84849" w:rsidRPr="00D84849">
              <w:trPr>
                <w:trHeight w:val="300"/>
                <w:tblCellSpacing w:w="0" w:type="dxa"/>
              </w:trPr>
              <w:tc>
                <w:tcPr>
                  <w:tcW w:w="960" w:type="dxa"/>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r>
          </w:tbl>
          <w:p w:rsidR="00D84849" w:rsidRPr="00D84849" w:rsidRDefault="00D84849" w:rsidP="00D84849">
            <w:pPr>
              <w:spacing w:after="0" w:line="240" w:lineRule="auto"/>
              <w:rPr>
                <w:rFonts w:ascii="Times New Roman" w:eastAsia="Times New Roman" w:hAnsi="Times New Roman" w:cs="Times New Roman"/>
                <w:szCs w:val="24"/>
              </w:rPr>
            </w:pPr>
          </w:p>
        </w:tc>
        <w:tc>
          <w:tcPr>
            <w:tcW w:w="960" w:type="dxa"/>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960" w:type="dxa"/>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960" w:type="dxa"/>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960" w:type="dxa"/>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960" w:type="dxa"/>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960" w:type="dxa"/>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r>
      <w:tr w:rsidR="00D84849" w:rsidRPr="00D84849" w:rsidTr="00D84849">
        <w:trPr>
          <w:trHeight w:val="300"/>
          <w:tblCellSpacing w:w="0" w:type="dxa"/>
        </w:trPr>
        <w:tc>
          <w:tcPr>
            <w:tcW w:w="1170" w:type="dxa"/>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189" w:type="dxa"/>
            <w:gridSpan w:val="2"/>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0 -- 0+</w:t>
            </w:r>
          </w:p>
        </w:tc>
        <w:tc>
          <w:tcPr>
            <w:tcW w:w="0" w:type="auto"/>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b/>
                <w:bCs/>
                <w:szCs w:val="24"/>
              </w:rPr>
              <w:t>}</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Novice</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3 - 3+</w:t>
            </w:r>
          </w:p>
        </w:tc>
        <w:tc>
          <w:tcPr>
            <w:tcW w:w="0" w:type="auto"/>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r>
      <w:tr w:rsidR="00D84849" w:rsidRPr="00D84849" w:rsidTr="00D84849">
        <w:trPr>
          <w:trHeight w:val="300"/>
          <w:tblCellSpacing w:w="0" w:type="dxa"/>
        </w:trPr>
        <w:tc>
          <w:tcPr>
            <w:tcW w:w="1170" w:type="dxa"/>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189" w:type="dxa"/>
            <w:gridSpan w:val="2"/>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1 -- 1+</w:t>
            </w:r>
          </w:p>
        </w:tc>
        <w:tc>
          <w:tcPr>
            <w:tcW w:w="0" w:type="auto"/>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b/>
                <w:bCs/>
                <w:szCs w:val="24"/>
              </w:rPr>
              <w:t>}</w:t>
            </w:r>
          </w:p>
        </w:tc>
        <w:tc>
          <w:tcPr>
            <w:tcW w:w="0" w:type="auto"/>
            <w:gridSpan w:val="2"/>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Intermediate</w:t>
            </w:r>
          </w:p>
        </w:tc>
        <w:tc>
          <w:tcPr>
            <w:tcW w:w="0" w:type="auto"/>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4 - 4+</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Superior</w:t>
            </w:r>
          </w:p>
        </w:tc>
        <w:tc>
          <w:tcPr>
            <w:tcW w:w="0" w:type="auto"/>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r>
      <w:tr w:rsidR="00D84849" w:rsidRPr="00D84849" w:rsidTr="00D84849">
        <w:trPr>
          <w:trHeight w:val="300"/>
          <w:tblCellSpacing w:w="0" w:type="dxa"/>
        </w:trPr>
        <w:tc>
          <w:tcPr>
            <w:tcW w:w="1170" w:type="dxa"/>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189" w:type="dxa"/>
            <w:gridSpan w:val="2"/>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2 -- 2+</w:t>
            </w:r>
          </w:p>
        </w:tc>
        <w:tc>
          <w:tcPr>
            <w:tcW w:w="0" w:type="auto"/>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b/>
                <w:bCs/>
                <w:szCs w:val="24"/>
              </w:rPr>
              <w:t>}</w:t>
            </w:r>
          </w:p>
        </w:tc>
        <w:tc>
          <w:tcPr>
            <w:tcW w:w="0" w:type="auto"/>
            <w:gridSpan w:val="2"/>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Advanced</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5</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r>
      <w:tr w:rsidR="00D84849" w:rsidRPr="00D84849" w:rsidTr="00D84849">
        <w:trPr>
          <w:trHeight w:val="300"/>
          <w:tblCellSpacing w:w="0" w:type="dxa"/>
        </w:trPr>
        <w:tc>
          <w:tcPr>
            <w:tcW w:w="1170" w:type="dxa"/>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189" w:type="dxa"/>
            <w:gridSpan w:val="2"/>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r>
      <w:tr w:rsidR="00D84849" w:rsidRPr="00D84849" w:rsidTr="00D84849">
        <w:trPr>
          <w:trHeight w:val="300"/>
          <w:tblCellSpacing w:w="0" w:type="dxa"/>
        </w:trPr>
        <w:tc>
          <w:tcPr>
            <w:tcW w:w="1170" w:type="dxa"/>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b/>
                <w:bCs/>
                <w:szCs w:val="24"/>
              </w:rPr>
              <w:t>5</w:t>
            </w:r>
          </w:p>
        </w:tc>
        <w:tc>
          <w:tcPr>
            <w:tcW w:w="1776" w:type="dxa"/>
            <w:gridSpan w:val="3"/>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b/>
                <w:bCs/>
                <w:szCs w:val="24"/>
              </w:rPr>
              <w:t>Text Type</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r>
      <w:tr w:rsidR="00D84849" w:rsidRPr="00D84849" w:rsidTr="00D84849">
        <w:trPr>
          <w:trHeight w:val="330"/>
          <w:tblCellSpacing w:w="0" w:type="dxa"/>
        </w:trPr>
        <w:tc>
          <w:tcPr>
            <w:tcW w:w="1170" w:type="dxa"/>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189" w:type="dxa"/>
            <w:gridSpan w:val="2"/>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tcBorders>
              <w:top w:val="nil"/>
              <w:left w:val="nil"/>
              <w:bottom w:val="single" w:sz="8" w:space="0" w:color="auto"/>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b/>
                <w:bCs/>
                <w:szCs w:val="24"/>
              </w:rPr>
              <w:t>0</w:t>
            </w:r>
          </w:p>
        </w:tc>
        <w:tc>
          <w:tcPr>
            <w:tcW w:w="0" w:type="auto"/>
            <w:tcBorders>
              <w:top w:val="nil"/>
              <w:left w:val="nil"/>
              <w:bottom w:val="single" w:sz="8" w:space="0" w:color="auto"/>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b/>
                <w:bCs/>
                <w:szCs w:val="24"/>
              </w:rPr>
              <w:t>0+</w:t>
            </w:r>
          </w:p>
        </w:tc>
        <w:tc>
          <w:tcPr>
            <w:tcW w:w="0" w:type="auto"/>
            <w:tcBorders>
              <w:top w:val="nil"/>
              <w:left w:val="nil"/>
              <w:bottom w:val="single" w:sz="8" w:space="0" w:color="auto"/>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b/>
                <w:bCs/>
                <w:szCs w:val="24"/>
              </w:rPr>
              <w:t>1</w:t>
            </w:r>
          </w:p>
        </w:tc>
        <w:tc>
          <w:tcPr>
            <w:tcW w:w="0" w:type="auto"/>
            <w:tcBorders>
              <w:top w:val="nil"/>
              <w:left w:val="nil"/>
              <w:bottom w:val="single" w:sz="8" w:space="0" w:color="auto"/>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b/>
                <w:bCs/>
                <w:szCs w:val="24"/>
              </w:rPr>
              <w:t>1+</w:t>
            </w:r>
          </w:p>
        </w:tc>
        <w:tc>
          <w:tcPr>
            <w:tcW w:w="0" w:type="auto"/>
            <w:tcBorders>
              <w:top w:val="nil"/>
              <w:left w:val="nil"/>
              <w:bottom w:val="single" w:sz="8" w:space="0" w:color="auto"/>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b/>
                <w:bCs/>
                <w:szCs w:val="24"/>
              </w:rPr>
              <w:t>2</w:t>
            </w:r>
          </w:p>
        </w:tc>
        <w:tc>
          <w:tcPr>
            <w:tcW w:w="0" w:type="auto"/>
            <w:tcBorders>
              <w:top w:val="nil"/>
              <w:left w:val="nil"/>
              <w:bottom w:val="single" w:sz="8" w:space="0" w:color="auto"/>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b/>
                <w:bCs/>
                <w:szCs w:val="24"/>
              </w:rPr>
              <w:t>2+</w:t>
            </w:r>
          </w:p>
        </w:tc>
        <w:tc>
          <w:tcPr>
            <w:tcW w:w="0" w:type="auto"/>
            <w:tcBorders>
              <w:top w:val="nil"/>
              <w:left w:val="nil"/>
              <w:bottom w:val="single" w:sz="8" w:space="0" w:color="auto"/>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b/>
                <w:bCs/>
                <w:szCs w:val="24"/>
              </w:rPr>
              <w:t>3</w:t>
            </w:r>
          </w:p>
        </w:tc>
        <w:tc>
          <w:tcPr>
            <w:tcW w:w="0" w:type="auto"/>
            <w:tcBorders>
              <w:top w:val="nil"/>
              <w:left w:val="nil"/>
              <w:bottom w:val="single" w:sz="8" w:space="0" w:color="auto"/>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b/>
                <w:bCs/>
                <w:szCs w:val="24"/>
              </w:rPr>
              <w:t>3+</w:t>
            </w:r>
          </w:p>
        </w:tc>
        <w:tc>
          <w:tcPr>
            <w:tcW w:w="0" w:type="auto"/>
            <w:tcBorders>
              <w:top w:val="nil"/>
              <w:left w:val="nil"/>
              <w:bottom w:val="single" w:sz="8" w:space="0" w:color="auto"/>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b/>
                <w:bCs/>
                <w:szCs w:val="24"/>
              </w:rPr>
              <w:t>4</w:t>
            </w:r>
          </w:p>
        </w:tc>
        <w:tc>
          <w:tcPr>
            <w:tcW w:w="0" w:type="auto"/>
            <w:tcBorders>
              <w:top w:val="nil"/>
              <w:left w:val="nil"/>
              <w:bottom w:val="single" w:sz="8" w:space="0" w:color="auto"/>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b/>
                <w:bCs/>
                <w:szCs w:val="24"/>
              </w:rPr>
              <w:t>4+</w:t>
            </w:r>
          </w:p>
        </w:tc>
        <w:tc>
          <w:tcPr>
            <w:tcW w:w="0" w:type="auto"/>
            <w:tcBorders>
              <w:top w:val="nil"/>
              <w:left w:val="nil"/>
              <w:bottom w:val="single" w:sz="8" w:space="0" w:color="auto"/>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b/>
                <w:bCs/>
                <w:szCs w:val="24"/>
              </w:rPr>
              <w:t>5</w:t>
            </w:r>
          </w:p>
        </w:tc>
      </w:tr>
      <w:tr w:rsidR="00D84849" w:rsidRPr="00D84849" w:rsidTr="00D84849">
        <w:trPr>
          <w:trHeight w:val="300"/>
          <w:tblCellSpacing w:w="0" w:type="dxa"/>
        </w:trPr>
        <w:tc>
          <w:tcPr>
            <w:tcW w:w="0" w:type="auto"/>
            <w:gridSpan w:val="3"/>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French 301</w:t>
            </w:r>
          </w:p>
        </w:tc>
        <w:tc>
          <w:tcPr>
            <w:tcW w:w="0" w:type="auto"/>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6</w:t>
            </w:r>
          </w:p>
        </w:tc>
        <w:tc>
          <w:tcPr>
            <w:tcW w:w="0" w:type="auto"/>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6</w:t>
            </w:r>
          </w:p>
        </w:tc>
        <w:tc>
          <w:tcPr>
            <w:tcW w:w="0" w:type="auto"/>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1</w:t>
            </w:r>
          </w:p>
        </w:tc>
        <w:tc>
          <w:tcPr>
            <w:tcW w:w="0" w:type="auto"/>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r>
      <w:tr w:rsidR="00D84849" w:rsidRPr="00D84849" w:rsidTr="00D84849">
        <w:trPr>
          <w:trHeight w:val="300"/>
          <w:tblCellSpacing w:w="0" w:type="dxa"/>
        </w:trPr>
        <w:tc>
          <w:tcPr>
            <w:tcW w:w="0" w:type="auto"/>
            <w:gridSpan w:val="3"/>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b/>
                <w:bCs/>
                <w:szCs w:val="24"/>
              </w:rPr>
              <w:t>French 320</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9</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r>
      <w:tr w:rsidR="00D84849" w:rsidRPr="00D84849" w:rsidTr="00D84849">
        <w:trPr>
          <w:trHeight w:val="300"/>
          <w:tblCellSpacing w:w="0" w:type="dxa"/>
        </w:trPr>
        <w:tc>
          <w:tcPr>
            <w:tcW w:w="0" w:type="auto"/>
            <w:gridSpan w:val="2"/>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r>
      <w:tr w:rsidR="00D84849" w:rsidRPr="00D84849" w:rsidTr="00D84849">
        <w:trPr>
          <w:trHeight w:val="315"/>
          <w:tblCellSpacing w:w="0" w:type="dxa"/>
        </w:trPr>
        <w:tc>
          <w:tcPr>
            <w:tcW w:w="0" w:type="auto"/>
            <w:gridSpan w:val="3"/>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German 301</w:t>
            </w:r>
          </w:p>
        </w:tc>
        <w:tc>
          <w:tcPr>
            <w:tcW w:w="0" w:type="auto"/>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1</w:t>
            </w:r>
          </w:p>
        </w:tc>
        <w:tc>
          <w:tcPr>
            <w:tcW w:w="0" w:type="auto"/>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7</w:t>
            </w:r>
          </w:p>
        </w:tc>
        <w:tc>
          <w:tcPr>
            <w:tcW w:w="0" w:type="auto"/>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4</w:t>
            </w:r>
          </w:p>
        </w:tc>
        <w:tc>
          <w:tcPr>
            <w:tcW w:w="0" w:type="auto"/>
            <w:tcBorders>
              <w:top w:val="nil"/>
              <w:left w:val="nil"/>
              <w:bottom w:val="nil"/>
              <w:right w:val="nil"/>
            </w:tcBorders>
            <w:shd w:val="clear" w:color="auto" w:fill="auto"/>
            <w:vAlign w:val="center"/>
            <w:hideMark/>
          </w:tcPr>
          <w:p w:rsidR="00D84849" w:rsidRPr="00D84849" w:rsidRDefault="00D84849" w:rsidP="00D84849">
            <w:pPr>
              <w:spacing w:after="0" w:line="240" w:lineRule="auto"/>
              <w:jc w:val="right"/>
              <w:rPr>
                <w:rFonts w:ascii="Times New Roman" w:eastAsia="Times New Roman" w:hAnsi="Times New Roman" w:cs="Times New Roman"/>
                <w:szCs w:val="24"/>
              </w:rPr>
            </w:pPr>
            <w:r w:rsidRPr="00D84849">
              <w:rPr>
                <w:rFonts w:ascii="Times New Roman" w:eastAsia="Times New Roman" w:hAnsi="Times New Roman" w:cs="Times New Roman"/>
                <w:szCs w:val="24"/>
              </w:rPr>
              <w:t>1</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r>
      <w:tr w:rsidR="00D84849" w:rsidRPr="00D84849" w:rsidTr="00D84849">
        <w:trPr>
          <w:trHeight w:val="315"/>
          <w:tblCellSpacing w:w="0" w:type="dxa"/>
        </w:trPr>
        <w:tc>
          <w:tcPr>
            <w:tcW w:w="0" w:type="auto"/>
            <w:gridSpan w:val="3"/>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b/>
                <w:bCs/>
                <w:szCs w:val="24"/>
              </w:rPr>
              <w:t>German 307</w:t>
            </w:r>
          </w:p>
        </w:tc>
        <w:tc>
          <w:tcPr>
            <w:tcW w:w="0" w:type="auto"/>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1</w:t>
            </w:r>
          </w:p>
        </w:tc>
        <w:tc>
          <w:tcPr>
            <w:tcW w:w="0" w:type="auto"/>
            <w:tcBorders>
              <w:top w:val="nil"/>
              <w:left w:val="nil"/>
              <w:bottom w:val="nil"/>
              <w:right w:val="nil"/>
            </w:tcBorders>
            <w:shd w:val="clear" w:color="auto" w:fill="auto"/>
            <w:vAlign w:val="center"/>
            <w:hideMark/>
          </w:tcPr>
          <w:p w:rsidR="00D84849" w:rsidRPr="00D84849" w:rsidRDefault="00D84849" w:rsidP="00D84849">
            <w:pPr>
              <w:spacing w:after="0" w:line="240" w:lineRule="auto"/>
              <w:jc w:val="right"/>
              <w:rPr>
                <w:rFonts w:ascii="Times New Roman" w:eastAsia="Times New Roman" w:hAnsi="Times New Roman" w:cs="Times New Roman"/>
                <w:szCs w:val="24"/>
              </w:rPr>
            </w:pPr>
            <w:r w:rsidRPr="00D84849">
              <w:rPr>
                <w:rFonts w:ascii="Times New Roman" w:eastAsia="Times New Roman" w:hAnsi="Times New Roman" w:cs="Times New Roman"/>
                <w:szCs w:val="24"/>
              </w:rPr>
              <w:t>1</w:t>
            </w:r>
          </w:p>
        </w:tc>
        <w:tc>
          <w:tcPr>
            <w:tcW w:w="0" w:type="auto"/>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2</w:t>
            </w:r>
          </w:p>
        </w:tc>
        <w:tc>
          <w:tcPr>
            <w:tcW w:w="0" w:type="auto"/>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2</w:t>
            </w:r>
          </w:p>
        </w:tc>
        <w:tc>
          <w:tcPr>
            <w:tcW w:w="0" w:type="auto"/>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r>
      <w:tr w:rsidR="00D84849" w:rsidRPr="00D84849" w:rsidTr="00D84849">
        <w:trPr>
          <w:trHeight w:val="315"/>
          <w:tblCellSpacing w:w="0" w:type="dxa"/>
        </w:trPr>
        <w:tc>
          <w:tcPr>
            <w:tcW w:w="0" w:type="auto"/>
            <w:gridSpan w:val="2"/>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r>
      <w:tr w:rsidR="00D84849" w:rsidRPr="00D84849" w:rsidTr="00D84849">
        <w:trPr>
          <w:trHeight w:val="315"/>
          <w:tblCellSpacing w:w="0" w:type="dxa"/>
        </w:trPr>
        <w:tc>
          <w:tcPr>
            <w:tcW w:w="0" w:type="auto"/>
            <w:gridSpan w:val="3"/>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Spanish 301.1</w:t>
            </w:r>
          </w:p>
        </w:tc>
        <w:tc>
          <w:tcPr>
            <w:tcW w:w="0" w:type="auto"/>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2</w:t>
            </w:r>
          </w:p>
        </w:tc>
        <w:tc>
          <w:tcPr>
            <w:tcW w:w="0" w:type="auto"/>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7</w:t>
            </w:r>
          </w:p>
        </w:tc>
        <w:tc>
          <w:tcPr>
            <w:tcW w:w="0" w:type="auto"/>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3</w:t>
            </w:r>
          </w:p>
        </w:tc>
        <w:tc>
          <w:tcPr>
            <w:tcW w:w="0" w:type="auto"/>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r>
      <w:tr w:rsidR="00D84849" w:rsidRPr="00D84849" w:rsidTr="00D84849">
        <w:trPr>
          <w:trHeight w:val="315"/>
          <w:tblCellSpacing w:w="0" w:type="dxa"/>
        </w:trPr>
        <w:tc>
          <w:tcPr>
            <w:tcW w:w="0" w:type="auto"/>
            <w:gridSpan w:val="3"/>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Spanish 301.2</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5</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4</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5</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r>
      <w:tr w:rsidR="00D84849" w:rsidRPr="00D84849" w:rsidTr="00D84849">
        <w:trPr>
          <w:trHeight w:val="300"/>
          <w:tblCellSpacing w:w="0" w:type="dxa"/>
        </w:trPr>
        <w:tc>
          <w:tcPr>
            <w:tcW w:w="0" w:type="auto"/>
            <w:gridSpan w:val="3"/>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b/>
                <w:bCs/>
                <w:szCs w:val="24"/>
              </w:rPr>
              <w:t>Spanish 402</w:t>
            </w:r>
          </w:p>
        </w:tc>
        <w:tc>
          <w:tcPr>
            <w:tcW w:w="0" w:type="auto"/>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2</w:t>
            </w:r>
          </w:p>
        </w:tc>
        <w:tc>
          <w:tcPr>
            <w:tcW w:w="0" w:type="auto"/>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2</w:t>
            </w:r>
          </w:p>
        </w:tc>
        <w:tc>
          <w:tcPr>
            <w:tcW w:w="0" w:type="auto"/>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7</w:t>
            </w: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r>
      <w:tr w:rsidR="00D84849" w:rsidRPr="00D84849" w:rsidTr="00D84849">
        <w:trPr>
          <w:trHeight w:val="300"/>
          <w:tblCellSpacing w:w="0" w:type="dxa"/>
        </w:trPr>
        <w:tc>
          <w:tcPr>
            <w:tcW w:w="0" w:type="auto"/>
            <w:gridSpan w:val="2"/>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c>
          <w:tcPr>
            <w:tcW w:w="0" w:type="auto"/>
            <w:tcBorders>
              <w:top w:val="nil"/>
              <w:left w:val="nil"/>
              <w:bottom w:val="nil"/>
              <w:right w:val="nil"/>
            </w:tcBorders>
            <w:shd w:val="clear" w:color="auto" w:fill="auto"/>
            <w:vAlign w:val="center"/>
            <w:hideMark/>
          </w:tcPr>
          <w:p w:rsidR="00D84849" w:rsidRPr="00D84849" w:rsidRDefault="00D84849" w:rsidP="00D84849">
            <w:pPr>
              <w:spacing w:after="0" w:line="240" w:lineRule="auto"/>
              <w:rPr>
                <w:rFonts w:ascii="Times New Roman" w:eastAsia="Times New Roman" w:hAnsi="Times New Roman" w:cs="Times New Roman"/>
                <w:szCs w:val="24"/>
              </w:rPr>
            </w:pPr>
          </w:p>
        </w:tc>
      </w:tr>
    </w:tbl>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 </w:t>
      </w:r>
    </w:p>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 </w:t>
      </w:r>
    </w:p>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 xml:space="preserve"> As hoped our comparative survey data shows that students across all 3 languages show significant improvement in their proficiency. The one surprising feature is that there seem to be discrepancies in proficiency levels when one compares advanced students in French with those students in Spanish or German. The data does not provide any reasons for this but I would suspect several possibilities: 1) inconsistency in interpretation. While we are professional language instructors we are not adequately trained in oral proficiency testing. This training program would require a significant time </w:t>
      </w:r>
      <w:proofErr w:type="spellStart"/>
      <w:r w:rsidRPr="00D84849">
        <w:rPr>
          <w:rFonts w:ascii="Times New Roman" w:eastAsia="Times New Roman" w:hAnsi="Times New Roman" w:cs="Times New Roman"/>
          <w:szCs w:val="24"/>
        </w:rPr>
        <w:t>committment</w:t>
      </w:r>
      <w:proofErr w:type="spellEnd"/>
      <w:r w:rsidRPr="00D84849">
        <w:rPr>
          <w:rFonts w:ascii="Times New Roman" w:eastAsia="Times New Roman" w:hAnsi="Times New Roman" w:cs="Times New Roman"/>
          <w:szCs w:val="24"/>
        </w:rPr>
        <w:t xml:space="preserve"> and is expensive. The other option would be to require that all graduates take the oral proficiency exam which is </w:t>
      </w:r>
      <w:proofErr w:type="spellStart"/>
      <w:r w:rsidRPr="00D84849">
        <w:rPr>
          <w:rFonts w:ascii="Times New Roman" w:eastAsia="Times New Roman" w:hAnsi="Times New Roman" w:cs="Times New Roman"/>
          <w:szCs w:val="24"/>
        </w:rPr>
        <w:t>administed</w:t>
      </w:r>
      <w:proofErr w:type="spellEnd"/>
      <w:r w:rsidRPr="00D84849">
        <w:rPr>
          <w:rFonts w:ascii="Times New Roman" w:eastAsia="Times New Roman" w:hAnsi="Times New Roman" w:cs="Times New Roman"/>
          <w:szCs w:val="24"/>
        </w:rPr>
        <w:t xml:space="preserve"> by ADFL. The charge for this exam is also quite expensive. </w:t>
      </w:r>
      <w:proofErr w:type="gramStart"/>
      <w:r w:rsidRPr="00D84849">
        <w:rPr>
          <w:rFonts w:ascii="Times New Roman" w:eastAsia="Times New Roman" w:hAnsi="Times New Roman" w:cs="Times New Roman"/>
          <w:szCs w:val="24"/>
        </w:rPr>
        <w:t>For each individual student approximately $150.</w:t>
      </w:r>
      <w:proofErr w:type="gramEnd"/>
      <w:r w:rsidRPr="00D84849">
        <w:rPr>
          <w:rFonts w:ascii="Times New Roman" w:eastAsia="Times New Roman" w:hAnsi="Times New Roman" w:cs="Times New Roman"/>
          <w:szCs w:val="24"/>
        </w:rPr>
        <w:t xml:space="preserve"> Presently those students in MLAC who seek teaching certificates are required to take </w:t>
      </w:r>
      <w:proofErr w:type="gramStart"/>
      <w:r w:rsidRPr="00D84849">
        <w:rPr>
          <w:rFonts w:ascii="Times New Roman" w:eastAsia="Times New Roman" w:hAnsi="Times New Roman" w:cs="Times New Roman"/>
          <w:szCs w:val="24"/>
        </w:rPr>
        <w:t>this exam; 2) Heritage speakers</w:t>
      </w:r>
      <w:proofErr w:type="gramEnd"/>
      <w:r w:rsidRPr="00D84849">
        <w:rPr>
          <w:rFonts w:ascii="Times New Roman" w:eastAsia="Times New Roman" w:hAnsi="Times New Roman" w:cs="Times New Roman"/>
          <w:szCs w:val="24"/>
        </w:rPr>
        <w:t xml:space="preserve"> in German or Spanish. Even though we do not track this I know that there are at least 2 heritage speakers in German and several in Spanish as well. Because they are semi-/near-native speakers, they would skew the data for those particular languages. 3) Some of the advanced classes have either more or fewer students who have already been on study abroad. If one of the above classes is either over- or under-represented in those students this would also have a significant impact on the survey results</w:t>
      </w:r>
    </w:p>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t> </w:t>
      </w:r>
    </w:p>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lastRenderedPageBreak/>
        <w:t>We are satisfied with the results of the data, which shows that our students are making substantial progress in their language proficiency while at Albion College. </w:t>
      </w:r>
    </w:p>
    <w:p w:rsidR="00D84849" w:rsidRPr="00D84849" w:rsidRDefault="00D84849" w:rsidP="00D84849">
      <w:pPr>
        <w:spacing w:after="0" w:line="240" w:lineRule="auto"/>
        <w:rPr>
          <w:rFonts w:ascii="Times New Roman" w:eastAsia="Times New Roman" w:hAnsi="Times New Roman" w:cs="Times New Roman"/>
          <w:szCs w:val="24"/>
        </w:rPr>
      </w:pPr>
      <w:r w:rsidRPr="00D84849">
        <w:rPr>
          <w:rFonts w:ascii="Times New Roman" w:eastAsia="Times New Roman" w:hAnsi="Times New Roman" w:cs="Times New Roman"/>
          <w:szCs w:val="24"/>
        </w:rPr>
        <w:br/>
        <w:t>Since our department is several departments in one, each of the language sections will be asked to compare their data between the 301 results and the senior seminar results. Each section will be asked to identify any trends, discrepancies or qualitative differences in student progression from the intermediate level to the senior level first at the language section level. Those reports will be first given to the chair and then a departmental meeting will be called for discussion of the overall results. An important outcome for us is that each language is similar in terms of student success. Traditionally we have managed the individual language sections as a department and we will continue to do this.  </w:t>
      </w:r>
      <w:r w:rsidRPr="00D84849">
        <w:rPr>
          <w:rFonts w:ascii="Times New Roman" w:eastAsia="Times New Roman" w:hAnsi="Times New Roman" w:cs="Times New Roman"/>
          <w:szCs w:val="24"/>
        </w:rPr>
        <w:br/>
        <w:t> </w:t>
      </w:r>
    </w:p>
    <w:p w:rsidR="00792DAA" w:rsidRDefault="00792DAA"/>
    <w:sectPr w:rsidR="00792DAA" w:rsidSect="00792D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075C1D"/>
    <w:multiLevelType w:val="multilevel"/>
    <w:tmpl w:val="12827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84849"/>
    <w:rsid w:val="002326E8"/>
    <w:rsid w:val="005753CF"/>
    <w:rsid w:val="007854DE"/>
    <w:rsid w:val="00792DAA"/>
    <w:rsid w:val="0085283C"/>
    <w:rsid w:val="00D848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7854DE"/>
    <w:rPr>
      <w:rFonts w:ascii="Franklin Gothic Book" w:hAnsi="Franklin Gothic Book"/>
      <w:sz w:val="24"/>
    </w:rPr>
  </w:style>
  <w:style w:type="paragraph" w:styleId="Heading3">
    <w:name w:val="heading 3"/>
    <w:basedOn w:val="Normal"/>
    <w:link w:val="Heading3Char"/>
    <w:uiPriority w:val="9"/>
    <w:qFormat/>
    <w:rsid w:val="00D8484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53CF"/>
    <w:pPr>
      <w:spacing w:after="0" w:line="240" w:lineRule="auto"/>
    </w:pPr>
    <w:rPr>
      <w:rFonts w:ascii="Franklin Gothic Book" w:hAnsi="Franklin Gothic Book"/>
      <w:sz w:val="24"/>
    </w:rPr>
  </w:style>
  <w:style w:type="character" w:customStyle="1" w:styleId="Heading3Char">
    <w:name w:val="Heading 3 Char"/>
    <w:basedOn w:val="DefaultParagraphFont"/>
    <w:link w:val="Heading3"/>
    <w:uiPriority w:val="9"/>
    <w:rsid w:val="00D84849"/>
    <w:rPr>
      <w:rFonts w:ascii="Times New Roman" w:eastAsia="Times New Roman" w:hAnsi="Times New Roman" w:cs="Times New Roman"/>
      <w:b/>
      <w:bCs/>
      <w:sz w:val="27"/>
      <w:szCs w:val="27"/>
    </w:rPr>
  </w:style>
  <w:style w:type="paragraph" w:styleId="NormalWeb">
    <w:name w:val="Normal (Web)"/>
    <w:basedOn w:val="Normal"/>
    <w:uiPriority w:val="99"/>
    <w:unhideWhenUsed/>
    <w:rsid w:val="00D84849"/>
    <w:pPr>
      <w:spacing w:before="100" w:beforeAutospacing="1" w:after="100" w:afterAutospacing="1" w:line="240" w:lineRule="auto"/>
    </w:pPr>
    <w:rPr>
      <w:rFonts w:ascii="Times New Roman" w:eastAsia="Times New Roman" w:hAnsi="Times New Roman" w:cs="Times New Roman"/>
      <w:szCs w:val="24"/>
    </w:rPr>
  </w:style>
  <w:style w:type="character" w:styleId="Hyperlink">
    <w:name w:val="Hyperlink"/>
    <w:basedOn w:val="DefaultParagraphFont"/>
    <w:uiPriority w:val="99"/>
    <w:semiHidden/>
    <w:unhideWhenUsed/>
    <w:rsid w:val="00D84849"/>
    <w:rPr>
      <w:color w:val="0000FF"/>
      <w:u w:val="single"/>
    </w:rPr>
  </w:style>
  <w:style w:type="paragraph" w:styleId="ListParagraph">
    <w:name w:val="List Paragraph"/>
    <w:basedOn w:val="Normal"/>
    <w:uiPriority w:val="34"/>
    <w:qFormat/>
    <w:rsid w:val="00D84849"/>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345206013">
      <w:bodyDiv w:val="1"/>
      <w:marLeft w:val="0"/>
      <w:marRight w:val="0"/>
      <w:marTop w:val="0"/>
      <w:marBottom w:val="0"/>
      <w:divBdr>
        <w:top w:val="none" w:sz="0" w:space="0" w:color="auto"/>
        <w:left w:val="none" w:sz="0" w:space="0" w:color="auto"/>
        <w:bottom w:val="none" w:sz="0" w:space="0" w:color="auto"/>
        <w:right w:val="none" w:sz="0" w:space="0" w:color="auto"/>
      </w:divBdr>
      <w:divsChild>
        <w:div w:id="544102426">
          <w:marLeft w:val="0"/>
          <w:marRight w:val="0"/>
          <w:marTop w:val="0"/>
          <w:marBottom w:val="0"/>
          <w:divBdr>
            <w:top w:val="none" w:sz="0" w:space="0" w:color="auto"/>
            <w:left w:val="none" w:sz="0" w:space="0" w:color="auto"/>
            <w:bottom w:val="none" w:sz="0" w:space="0" w:color="auto"/>
            <w:right w:val="none" w:sz="0" w:space="0" w:color="auto"/>
          </w:divBdr>
        </w:div>
        <w:div w:id="69274845">
          <w:marLeft w:val="0"/>
          <w:marRight w:val="0"/>
          <w:marTop w:val="0"/>
          <w:marBottom w:val="0"/>
          <w:divBdr>
            <w:top w:val="none" w:sz="0" w:space="0" w:color="auto"/>
            <w:left w:val="none" w:sz="0" w:space="0" w:color="auto"/>
            <w:bottom w:val="none" w:sz="0" w:space="0" w:color="auto"/>
            <w:right w:val="none" w:sz="0" w:space="0" w:color="auto"/>
          </w:divBdr>
        </w:div>
        <w:div w:id="2065786222">
          <w:marLeft w:val="0"/>
          <w:marRight w:val="0"/>
          <w:marTop w:val="0"/>
          <w:marBottom w:val="0"/>
          <w:divBdr>
            <w:top w:val="none" w:sz="0" w:space="0" w:color="auto"/>
            <w:left w:val="none" w:sz="0" w:space="0" w:color="auto"/>
            <w:bottom w:val="none" w:sz="0" w:space="0" w:color="auto"/>
            <w:right w:val="none" w:sz="0" w:space="0" w:color="auto"/>
          </w:divBdr>
        </w:div>
        <w:div w:id="1499804112">
          <w:marLeft w:val="0"/>
          <w:marRight w:val="0"/>
          <w:marTop w:val="0"/>
          <w:marBottom w:val="0"/>
          <w:divBdr>
            <w:top w:val="none" w:sz="0" w:space="0" w:color="auto"/>
            <w:left w:val="none" w:sz="0" w:space="0" w:color="auto"/>
            <w:bottom w:val="none" w:sz="0" w:space="0" w:color="auto"/>
            <w:right w:val="none" w:sz="0" w:space="0" w:color="auto"/>
          </w:divBdr>
        </w:div>
        <w:div w:id="352079143">
          <w:marLeft w:val="0"/>
          <w:marRight w:val="0"/>
          <w:marTop w:val="0"/>
          <w:marBottom w:val="0"/>
          <w:divBdr>
            <w:top w:val="none" w:sz="0" w:space="0" w:color="auto"/>
            <w:left w:val="none" w:sz="0" w:space="0" w:color="auto"/>
            <w:bottom w:val="none" w:sz="0" w:space="0" w:color="auto"/>
            <w:right w:val="none" w:sz="0" w:space="0" w:color="auto"/>
          </w:divBdr>
        </w:div>
        <w:div w:id="1895310922">
          <w:marLeft w:val="0"/>
          <w:marRight w:val="0"/>
          <w:marTop w:val="0"/>
          <w:marBottom w:val="0"/>
          <w:divBdr>
            <w:top w:val="none" w:sz="0" w:space="0" w:color="auto"/>
            <w:left w:val="none" w:sz="0" w:space="0" w:color="auto"/>
            <w:bottom w:val="none" w:sz="0" w:space="0" w:color="auto"/>
            <w:right w:val="none" w:sz="0" w:space="0" w:color="auto"/>
          </w:divBdr>
        </w:div>
        <w:div w:id="1883439945">
          <w:marLeft w:val="0"/>
          <w:marRight w:val="0"/>
          <w:marTop w:val="0"/>
          <w:marBottom w:val="0"/>
          <w:divBdr>
            <w:top w:val="none" w:sz="0" w:space="0" w:color="auto"/>
            <w:left w:val="none" w:sz="0" w:space="0" w:color="auto"/>
            <w:bottom w:val="none" w:sz="0" w:space="0" w:color="auto"/>
            <w:right w:val="none" w:sz="0" w:space="0" w:color="auto"/>
          </w:divBdr>
        </w:div>
        <w:div w:id="413474527">
          <w:marLeft w:val="0"/>
          <w:marRight w:val="0"/>
          <w:marTop w:val="0"/>
          <w:marBottom w:val="0"/>
          <w:divBdr>
            <w:top w:val="none" w:sz="0" w:space="0" w:color="auto"/>
            <w:left w:val="none" w:sz="0" w:space="0" w:color="auto"/>
            <w:bottom w:val="none" w:sz="0" w:space="0" w:color="auto"/>
            <w:right w:val="none" w:sz="0" w:space="0" w:color="auto"/>
          </w:divBdr>
        </w:div>
        <w:div w:id="1531454034">
          <w:marLeft w:val="0"/>
          <w:marRight w:val="0"/>
          <w:marTop w:val="0"/>
          <w:marBottom w:val="0"/>
          <w:divBdr>
            <w:top w:val="none" w:sz="0" w:space="0" w:color="auto"/>
            <w:left w:val="none" w:sz="0" w:space="0" w:color="auto"/>
            <w:bottom w:val="none" w:sz="0" w:space="0" w:color="auto"/>
            <w:right w:val="none" w:sz="0" w:space="0" w:color="auto"/>
          </w:divBdr>
        </w:div>
        <w:div w:id="918487737">
          <w:marLeft w:val="0"/>
          <w:marRight w:val="0"/>
          <w:marTop w:val="0"/>
          <w:marBottom w:val="0"/>
          <w:divBdr>
            <w:top w:val="none" w:sz="0" w:space="0" w:color="auto"/>
            <w:left w:val="none" w:sz="0" w:space="0" w:color="auto"/>
            <w:bottom w:val="none" w:sz="0" w:space="0" w:color="auto"/>
            <w:right w:val="none" w:sz="0" w:space="0" w:color="auto"/>
          </w:divBdr>
        </w:div>
        <w:div w:id="1806003796">
          <w:marLeft w:val="0"/>
          <w:marRight w:val="0"/>
          <w:marTop w:val="0"/>
          <w:marBottom w:val="0"/>
          <w:divBdr>
            <w:top w:val="none" w:sz="0" w:space="0" w:color="auto"/>
            <w:left w:val="none" w:sz="0" w:space="0" w:color="auto"/>
            <w:bottom w:val="none" w:sz="0" w:space="0" w:color="auto"/>
            <w:right w:val="none" w:sz="0" w:space="0" w:color="auto"/>
          </w:divBdr>
        </w:div>
        <w:div w:id="197397264">
          <w:marLeft w:val="0"/>
          <w:marRight w:val="0"/>
          <w:marTop w:val="0"/>
          <w:marBottom w:val="0"/>
          <w:divBdr>
            <w:top w:val="none" w:sz="0" w:space="0" w:color="auto"/>
            <w:left w:val="none" w:sz="0" w:space="0" w:color="auto"/>
            <w:bottom w:val="none" w:sz="0" w:space="0" w:color="auto"/>
            <w:right w:val="none" w:sz="0" w:space="0" w:color="auto"/>
          </w:divBdr>
        </w:div>
        <w:div w:id="1617180981">
          <w:marLeft w:val="0"/>
          <w:marRight w:val="0"/>
          <w:marTop w:val="0"/>
          <w:marBottom w:val="0"/>
          <w:divBdr>
            <w:top w:val="none" w:sz="0" w:space="0" w:color="auto"/>
            <w:left w:val="none" w:sz="0" w:space="0" w:color="auto"/>
            <w:bottom w:val="none" w:sz="0" w:space="0" w:color="auto"/>
            <w:right w:val="none" w:sz="0" w:space="0" w:color="auto"/>
          </w:divBdr>
        </w:div>
        <w:div w:id="1173108512">
          <w:marLeft w:val="0"/>
          <w:marRight w:val="0"/>
          <w:marTop w:val="0"/>
          <w:marBottom w:val="0"/>
          <w:divBdr>
            <w:top w:val="none" w:sz="0" w:space="0" w:color="auto"/>
            <w:left w:val="none" w:sz="0" w:space="0" w:color="auto"/>
            <w:bottom w:val="none" w:sz="0" w:space="0" w:color="auto"/>
            <w:right w:val="none" w:sz="0" w:space="0" w:color="auto"/>
          </w:divBdr>
        </w:div>
        <w:div w:id="1845587529">
          <w:marLeft w:val="0"/>
          <w:marRight w:val="0"/>
          <w:marTop w:val="0"/>
          <w:marBottom w:val="0"/>
          <w:divBdr>
            <w:top w:val="none" w:sz="0" w:space="0" w:color="auto"/>
            <w:left w:val="none" w:sz="0" w:space="0" w:color="auto"/>
            <w:bottom w:val="none" w:sz="0" w:space="0" w:color="auto"/>
            <w:right w:val="none" w:sz="0" w:space="0" w:color="auto"/>
          </w:divBdr>
        </w:div>
        <w:div w:id="366101383">
          <w:marLeft w:val="0"/>
          <w:marRight w:val="0"/>
          <w:marTop w:val="0"/>
          <w:marBottom w:val="0"/>
          <w:divBdr>
            <w:top w:val="none" w:sz="0" w:space="0" w:color="auto"/>
            <w:left w:val="none" w:sz="0" w:space="0" w:color="auto"/>
            <w:bottom w:val="none" w:sz="0" w:space="0" w:color="auto"/>
            <w:right w:val="none" w:sz="0" w:space="0" w:color="auto"/>
          </w:divBdr>
        </w:div>
        <w:div w:id="512107291">
          <w:marLeft w:val="0"/>
          <w:marRight w:val="0"/>
          <w:marTop w:val="0"/>
          <w:marBottom w:val="0"/>
          <w:divBdr>
            <w:top w:val="none" w:sz="0" w:space="0" w:color="auto"/>
            <w:left w:val="none" w:sz="0" w:space="0" w:color="auto"/>
            <w:bottom w:val="none" w:sz="0" w:space="0" w:color="auto"/>
            <w:right w:val="none" w:sz="0" w:space="0" w:color="auto"/>
          </w:divBdr>
        </w:div>
        <w:div w:id="11554941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il.org/LinguaLinks/languagelearning/OtherResources/ACTFLProficiencyGuidelines/ACTFLProficiencyGuidelines.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2764</Words>
  <Characters>15760</Characters>
  <Application>Microsoft Office Word</Application>
  <DocSecurity>0</DocSecurity>
  <Lines>131</Lines>
  <Paragraphs>36</Paragraphs>
  <ScaleCrop>false</ScaleCrop>
  <Company>Albion College</Company>
  <LinksUpToDate>false</LinksUpToDate>
  <CharactersWithSpaces>18488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Albion</dc:creator>
  <cp:keywords/>
  <dc:description/>
  <cp:lastModifiedBy>Albion</cp:lastModifiedBy>
  <cp:revision>1</cp:revision>
  <dcterms:created xsi:type="dcterms:W3CDTF">2010-03-21T16:05:00Z</dcterms:created>
  <dcterms:modified xsi:type="dcterms:W3CDTF">2010-03-21T16:10:00Z</dcterms:modified>
</cp:coreProperties>
</file>